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DE9" w:rsidRPr="00472B2F" w:rsidRDefault="00D07C52" w:rsidP="00472B2F">
      <w:pPr>
        <w:jc w:val="center"/>
        <w:rPr>
          <w:rFonts w:eastAsia="Times New Roman"/>
          <w:b/>
        </w:rPr>
      </w:pPr>
      <w:r>
        <w:rPr>
          <w:rFonts w:eastAsia="Times New Roman"/>
          <w:b/>
        </w:rPr>
        <w:t>Rábagyarmat</w:t>
      </w:r>
      <w:r w:rsidR="00B66DE9" w:rsidRPr="00472B2F">
        <w:rPr>
          <w:rFonts w:eastAsia="Times New Roman"/>
          <w:b/>
        </w:rPr>
        <w:t xml:space="preserve"> Község Önkormányzata Képviselő-testületének</w:t>
      </w:r>
    </w:p>
    <w:p w:rsidR="00B66DE9" w:rsidRPr="00472B2F" w:rsidRDefault="00032BAD" w:rsidP="00472B2F">
      <w:pPr>
        <w:jc w:val="center"/>
        <w:rPr>
          <w:rFonts w:eastAsia="Times New Roman"/>
          <w:b/>
        </w:rPr>
      </w:pPr>
      <w:r>
        <w:rPr>
          <w:rFonts w:eastAsia="Times New Roman"/>
          <w:b/>
        </w:rPr>
        <w:t>4</w:t>
      </w:r>
      <w:r w:rsidR="00D27845">
        <w:rPr>
          <w:rFonts w:eastAsia="Times New Roman"/>
          <w:b/>
        </w:rPr>
        <w:t>/2017</w:t>
      </w:r>
      <w:r w:rsidR="00B66DE9" w:rsidRPr="00472B2F">
        <w:rPr>
          <w:rFonts w:eastAsia="Times New Roman"/>
          <w:b/>
        </w:rPr>
        <w:t>. (</w:t>
      </w:r>
      <w:r>
        <w:rPr>
          <w:rFonts w:eastAsia="Times New Roman"/>
          <w:b/>
        </w:rPr>
        <w:t>VI.01.</w:t>
      </w:r>
      <w:r w:rsidR="00B66DE9" w:rsidRPr="00472B2F">
        <w:rPr>
          <w:rFonts w:eastAsia="Times New Roman"/>
          <w:b/>
        </w:rPr>
        <w:t>) Önkormányzati Rendelete</w:t>
      </w:r>
      <w:r w:rsidR="005251F3" w:rsidRPr="00472B2F">
        <w:rPr>
          <w:rFonts w:eastAsia="Times New Roman"/>
          <w:b/>
        </w:rPr>
        <w:t xml:space="preserve"> a</w:t>
      </w:r>
    </w:p>
    <w:p w:rsidR="00032BAD" w:rsidRDefault="00D07C52" w:rsidP="00472B2F">
      <w:pPr>
        <w:pStyle w:val="Szvegtrzs"/>
        <w:spacing w:after="0"/>
        <w:jc w:val="center"/>
        <w:rPr>
          <w:b/>
          <w:sz w:val="24"/>
          <w:szCs w:val="24"/>
        </w:rPr>
      </w:pPr>
      <w:r>
        <w:rPr>
          <w:b/>
          <w:sz w:val="24"/>
          <w:szCs w:val="24"/>
        </w:rPr>
        <w:t>Rábagyarmat</w:t>
      </w:r>
      <w:r w:rsidR="005251F3" w:rsidRPr="00472B2F">
        <w:rPr>
          <w:b/>
          <w:sz w:val="24"/>
          <w:szCs w:val="24"/>
        </w:rPr>
        <w:t xml:space="preserve"> község</w:t>
      </w:r>
      <w:r w:rsidR="00472B2F">
        <w:rPr>
          <w:b/>
          <w:sz w:val="24"/>
          <w:szCs w:val="24"/>
        </w:rPr>
        <w:t xml:space="preserve"> </w:t>
      </w:r>
      <w:r w:rsidRPr="00D07C52">
        <w:rPr>
          <w:b/>
          <w:sz w:val="24"/>
          <w:szCs w:val="24"/>
        </w:rPr>
        <w:t>Helyi Építési Szabályza</w:t>
      </w:r>
      <w:r>
        <w:rPr>
          <w:b/>
          <w:sz w:val="24"/>
          <w:szCs w:val="24"/>
        </w:rPr>
        <w:t>tának,</w:t>
      </w:r>
    </w:p>
    <w:p w:rsidR="005251F3" w:rsidRPr="00032BAD" w:rsidRDefault="00D07C52" w:rsidP="00032BAD">
      <w:pPr>
        <w:pStyle w:val="Szvegtrzs"/>
        <w:spacing w:after="0"/>
        <w:jc w:val="center"/>
        <w:rPr>
          <w:b/>
          <w:sz w:val="24"/>
          <w:szCs w:val="24"/>
        </w:rPr>
      </w:pPr>
      <w:r>
        <w:rPr>
          <w:b/>
          <w:sz w:val="24"/>
          <w:szCs w:val="24"/>
        </w:rPr>
        <w:t xml:space="preserve"> valamint</w:t>
      </w:r>
      <w:r w:rsidRPr="00D07C52">
        <w:rPr>
          <w:b/>
          <w:sz w:val="24"/>
          <w:szCs w:val="24"/>
        </w:rPr>
        <w:t xml:space="preserve"> </w:t>
      </w:r>
      <w:r w:rsidR="00472B2F" w:rsidRPr="00472B2F">
        <w:rPr>
          <w:b/>
          <w:sz w:val="24"/>
          <w:szCs w:val="24"/>
        </w:rPr>
        <w:t>Szabályozási Tervének jóváhagyásáról</w:t>
      </w:r>
      <w:r w:rsidR="00032BAD">
        <w:rPr>
          <w:b/>
          <w:sz w:val="24"/>
          <w:szCs w:val="24"/>
        </w:rPr>
        <w:t xml:space="preserve"> </w:t>
      </w:r>
      <w:r w:rsidR="00032BAD" w:rsidRPr="00032BAD">
        <w:rPr>
          <w:b/>
          <w:sz w:val="24"/>
          <w:szCs w:val="24"/>
        </w:rPr>
        <w:t>s</w:t>
      </w:r>
      <w:r w:rsidR="005251F3" w:rsidRPr="00032BAD">
        <w:rPr>
          <w:b/>
          <w:sz w:val="24"/>
          <w:szCs w:val="24"/>
        </w:rPr>
        <w:t xml:space="preserve">zóló </w:t>
      </w:r>
    </w:p>
    <w:p w:rsidR="005251F3" w:rsidRPr="00472B2F" w:rsidRDefault="00D07C52" w:rsidP="00472B2F">
      <w:pPr>
        <w:jc w:val="center"/>
        <w:rPr>
          <w:b/>
        </w:rPr>
      </w:pPr>
      <w:r>
        <w:rPr>
          <w:b/>
        </w:rPr>
        <w:t>9</w:t>
      </w:r>
      <w:r w:rsidR="00472B2F">
        <w:rPr>
          <w:b/>
        </w:rPr>
        <w:t>/200</w:t>
      </w:r>
      <w:r>
        <w:rPr>
          <w:b/>
        </w:rPr>
        <w:t>7</w:t>
      </w:r>
      <w:r w:rsidR="00472B2F">
        <w:rPr>
          <w:b/>
        </w:rPr>
        <w:t>. (</w:t>
      </w:r>
      <w:r>
        <w:rPr>
          <w:b/>
        </w:rPr>
        <w:t>XII.22.</w:t>
      </w:r>
      <w:r w:rsidR="005251F3" w:rsidRPr="00472B2F">
        <w:rPr>
          <w:b/>
        </w:rPr>
        <w:t>) számú rendelete módosításáról</w:t>
      </w:r>
    </w:p>
    <w:p w:rsidR="005251F3" w:rsidRDefault="005251F3" w:rsidP="005251F3">
      <w:pPr>
        <w:jc w:val="center"/>
        <w:rPr>
          <w:rFonts w:eastAsia="Times New Roman"/>
        </w:rPr>
      </w:pPr>
    </w:p>
    <w:p w:rsidR="00032BAD" w:rsidRDefault="00032BAD" w:rsidP="005251F3">
      <w:pPr>
        <w:jc w:val="center"/>
        <w:rPr>
          <w:rFonts w:eastAsia="Times New Roman"/>
        </w:rPr>
      </w:pPr>
    </w:p>
    <w:p w:rsidR="00B66DE9" w:rsidRPr="00B66DE9" w:rsidRDefault="00D07C52" w:rsidP="00B66DE9">
      <w:pPr>
        <w:jc w:val="both"/>
        <w:rPr>
          <w:rFonts w:eastAsia="Times New Roman"/>
        </w:rPr>
      </w:pPr>
      <w:r>
        <w:t>Rábagyarmat</w:t>
      </w:r>
      <w:r w:rsidR="005251F3">
        <w:t xml:space="preserve"> K</w:t>
      </w:r>
      <w:r w:rsidR="00B66DE9" w:rsidRPr="00B66DE9">
        <w:t>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 következőket rendeli el:</w:t>
      </w:r>
    </w:p>
    <w:p w:rsidR="00B66DE9" w:rsidRDefault="00B66DE9" w:rsidP="00B66DE9"/>
    <w:p w:rsidR="005251F3" w:rsidRPr="005251F3" w:rsidRDefault="005251F3" w:rsidP="005251F3">
      <w:pPr>
        <w:jc w:val="center"/>
        <w:rPr>
          <w:b/>
        </w:rPr>
      </w:pPr>
      <w:r w:rsidRPr="005251F3">
        <w:rPr>
          <w:b/>
        </w:rPr>
        <w:t>1. §</w:t>
      </w:r>
    </w:p>
    <w:p w:rsidR="005251F3" w:rsidRPr="005251F3" w:rsidRDefault="005251F3" w:rsidP="00B66DE9"/>
    <w:p w:rsidR="00472B2F" w:rsidRDefault="005251F3" w:rsidP="005251F3">
      <w:pPr>
        <w:pStyle w:val="Cmsor4"/>
        <w:spacing w:before="0" w:after="0"/>
        <w:jc w:val="both"/>
        <w:rPr>
          <w:rFonts w:ascii="Times New Roman" w:eastAsia="Calibri" w:hAnsi="Times New Roman"/>
          <w:b w:val="0"/>
          <w:color w:val="000000"/>
          <w:szCs w:val="24"/>
          <w:lang w:eastAsia="en-US"/>
        </w:rPr>
      </w:pPr>
      <w:r w:rsidRPr="005251F3">
        <w:rPr>
          <w:rFonts w:ascii="Times New Roman" w:hAnsi="Times New Roman"/>
          <w:b w:val="0"/>
          <w:szCs w:val="24"/>
        </w:rPr>
        <w:t xml:space="preserve">E Rendelet hatálybalépésével egyidejűleg hatályát veszti </w:t>
      </w:r>
      <w:r w:rsidR="00D07C52">
        <w:rPr>
          <w:rFonts w:ascii="Times New Roman" w:hAnsi="Times New Roman"/>
          <w:b w:val="0"/>
          <w:szCs w:val="24"/>
        </w:rPr>
        <w:t>Rábagyarmat</w:t>
      </w:r>
      <w:r w:rsidRPr="005251F3">
        <w:rPr>
          <w:rFonts w:ascii="Times New Roman" w:hAnsi="Times New Roman"/>
          <w:b w:val="0"/>
          <w:szCs w:val="24"/>
        </w:rPr>
        <w:t xml:space="preserve"> Község Képviselő Testületének </w:t>
      </w:r>
      <w:r w:rsidR="00D07C52">
        <w:rPr>
          <w:rFonts w:ascii="Times New Roman" w:hAnsi="Times New Roman"/>
          <w:b w:val="0"/>
          <w:szCs w:val="24"/>
        </w:rPr>
        <w:t>Rábagyarmat</w:t>
      </w:r>
      <w:r w:rsidRPr="005251F3">
        <w:rPr>
          <w:rFonts w:ascii="Times New Roman" w:hAnsi="Times New Roman"/>
          <w:b w:val="0"/>
          <w:szCs w:val="24"/>
        </w:rPr>
        <w:t xml:space="preserve"> Község </w:t>
      </w:r>
      <w:r w:rsidR="00D07C52">
        <w:rPr>
          <w:rFonts w:ascii="Times New Roman" w:hAnsi="Times New Roman"/>
          <w:b w:val="0"/>
          <w:szCs w:val="24"/>
        </w:rPr>
        <w:t xml:space="preserve">Helyi Építési Szabályzatának, valamint </w:t>
      </w:r>
      <w:r w:rsidR="00472B2F" w:rsidRPr="005251F3">
        <w:rPr>
          <w:rFonts w:ascii="Times New Roman" w:hAnsi="Times New Roman"/>
          <w:b w:val="0"/>
          <w:szCs w:val="24"/>
        </w:rPr>
        <w:t>Szabál</w:t>
      </w:r>
      <w:r w:rsidR="00472B2F">
        <w:rPr>
          <w:rFonts w:ascii="Times New Roman" w:hAnsi="Times New Roman"/>
          <w:b w:val="0"/>
          <w:szCs w:val="24"/>
        </w:rPr>
        <w:t>yozási Tervének jóváhagyásáról</w:t>
      </w:r>
      <w:r w:rsidR="00472B2F" w:rsidRPr="005251F3">
        <w:rPr>
          <w:rFonts w:ascii="Times New Roman" w:hAnsi="Times New Roman"/>
          <w:b w:val="0"/>
          <w:szCs w:val="24"/>
        </w:rPr>
        <w:t xml:space="preserve"> </w:t>
      </w:r>
      <w:r w:rsidRPr="005251F3">
        <w:rPr>
          <w:rFonts w:ascii="Times New Roman" w:hAnsi="Times New Roman"/>
          <w:b w:val="0"/>
          <w:szCs w:val="24"/>
        </w:rPr>
        <w:t xml:space="preserve">szóló </w:t>
      </w:r>
      <w:r w:rsidR="00D07C52">
        <w:rPr>
          <w:rFonts w:ascii="Times New Roman" w:hAnsi="Times New Roman"/>
          <w:b w:val="0"/>
          <w:szCs w:val="24"/>
        </w:rPr>
        <w:t>9</w:t>
      </w:r>
      <w:r w:rsidRPr="005251F3">
        <w:rPr>
          <w:rFonts w:ascii="Times New Roman" w:hAnsi="Times New Roman"/>
          <w:b w:val="0"/>
          <w:szCs w:val="24"/>
        </w:rPr>
        <w:t>/200</w:t>
      </w:r>
      <w:r w:rsidR="00D07C52">
        <w:rPr>
          <w:rFonts w:ascii="Times New Roman" w:hAnsi="Times New Roman"/>
          <w:b w:val="0"/>
          <w:szCs w:val="24"/>
        </w:rPr>
        <w:t>7</w:t>
      </w:r>
      <w:r w:rsidRPr="005251F3">
        <w:rPr>
          <w:rFonts w:ascii="Times New Roman" w:hAnsi="Times New Roman"/>
          <w:b w:val="0"/>
          <w:szCs w:val="24"/>
        </w:rPr>
        <w:t>. (</w:t>
      </w:r>
      <w:r w:rsidR="00D07C52">
        <w:rPr>
          <w:rFonts w:ascii="Times New Roman" w:hAnsi="Times New Roman"/>
          <w:b w:val="0"/>
          <w:szCs w:val="24"/>
        </w:rPr>
        <w:t>XII.22</w:t>
      </w:r>
      <w:r w:rsidR="00D9490B">
        <w:rPr>
          <w:rFonts w:ascii="Times New Roman" w:hAnsi="Times New Roman"/>
          <w:b w:val="0"/>
          <w:szCs w:val="24"/>
        </w:rPr>
        <w:t xml:space="preserve">.) számú rendelete </w:t>
      </w:r>
      <w:r w:rsidRPr="005251F3">
        <w:rPr>
          <w:rFonts w:ascii="Times New Roman" w:hAnsi="Times New Roman"/>
          <w:b w:val="0"/>
          <w:szCs w:val="24"/>
        </w:rPr>
        <w:t>(a továbbiakban Rendelet)</w:t>
      </w:r>
      <w:r w:rsidRPr="005251F3">
        <w:rPr>
          <w:rFonts w:ascii="Times New Roman" w:eastAsia="Calibri" w:hAnsi="Times New Roman"/>
          <w:b w:val="0"/>
          <w:color w:val="000000"/>
          <w:szCs w:val="24"/>
          <w:lang w:eastAsia="en-US"/>
        </w:rPr>
        <w:t xml:space="preserve"> </w:t>
      </w:r>
      <w:r w:rsidR="00D9490B">
        <w:rPr>
          <w:rFonts w:ascii="Times New Roman" w:eastAsia="Calibri" w:hAnsi="Times New Roman"/>
          <w:b w:val="0"/>
          <w:color w:val="000000"/>
          <w:szCs w:val="24"/>
          <w:lang w:eastAsia="en-US"/>
        </w:rPr>
        <w:t>4. §-a, 5. §-a, 7. § (10) bekezdése,</w:t>
      </w:r>
      <w:r w:rsidR="002F7D26">
        <w:rPr>
          <w:rFonts w:ascii="Times New Roman" w:eastAsia="Calibri" w:hAnsi="Times New Roman"/>
          <w:b w:val="0"/>
          <w:color w:val="000000"/>
          <w:szCs w:val="24"/>
          <w:lang w:eastAsia="en-US"/>
        </w:rPr>
        <w:t xml:space="preserve"> 19. § (1) bekezdése,</w:t>
      </w:r>
      <w:r w:rsidR="00D579E7">
        <w:rPr>
          <w:rFonts w:ascii="Times New Roman" w:eastAsia="Calibri" w:hAnsi="Times New Roman"/>
          <w:b w:val="0"/>
          <w:color w:val="000000"/>
          <w:szCs w:val="24"/>
          <w:lang w:eastAsia="en-US"/>
        </w:rPr>
        <w:t xml:space="preserve"> 23. § (3) és (5)</w:t>
      </w:r>
      <w:r w:rsidR="0006714E">
        <w:rPr>
          <w:rFonts w:ascii="Times New Roman" w:eastAsia="Calibri" w:hAnsi="Times New Roman"/>
          <w:b w:val="0"/>
          <w:color w:val="000000"/>
          <w:szCs w:val="24"/>
          <w:lang w:eastAsia="en-US"/>
        </w:rPr>
        <w:t xml:space="preserve"> bekezdése</w:t>
      </w:r>
      <w:r w:rsidR="00D579E7">
        <w:rPr>
          <w:rFonts w:ascii="Times New Roman" w:eastAsia="Calibri" w:hAnsi="Times New Roman"/>
          <w:b w:val="0"/>
          <w:color w:val="000000"/>
          <w:szCs w:val="24"/>
          <w:lang w:eastAsia="en-US"/>
        </w:rPr>
        <w:t>,</w:t>
      </w:r>
      <w:r w:rsidR="00D9490B">
        <w:rPr>
          <w:rFonts w:ascii="Times New Roman" w:eastAsia="Calibri" w:hAnsi="Times New Roman"/>
          <w:b w:val="0"/>
          <w:color w:val="000000"/>
          <w:szCs w:val="24"/>
          <w:lang w:eastAsia="en-US"/>
        </w:rPr>
        <w:t xml:space="preserve"> 29. § </w:t>
      </w:r>
      <w:r w:rsidR="002F7D26">
        <w:rPr>
          <w:rFonts w:ascii="Times New Roman" w:eastAsia="Calibri" w:hAnsi="Times New Roman"/>
          <w:b w:val="0"/>
          <w:color w:val="000000"/>
          <w:szCs w:val="24"/>
          <w:lang w:eastAsia="en-US"/>
        </w:rPr>
        <w:t>(3)-</w:t>
      </w:r>
      <w:r w:rsidR="00D9490B">
        <w:rPr>
          <w:rFonts w:ascii="Times New Roman" w:eastAsia="Calibri" w:hAnsi="Times New Roman"/>
          <w:b w:val="0"/>
          <w:color w:val="000000"/>
          <w:szCs w:val="24"/>
          <w:lang w:eastAsia="en-US"/>
        </w:rPr>
        <w:t xml:space="preserve">(5) bekezdése, </w:t>
      </w:r>
      <w:r w:rsidR="002F7D26">
        <w:rPr>
          <w:rFonts w:ascii="Times New Roman" w:eastAsia="Calibri" w:hAnsi="Times New Roman"/>
          <w:b w:val="0"/>
          <w:color w:val="000000"/>
          <w:szCs w:val="24"/>
          <w:lang w:eastAsia="en-US"/>
        </w:rPr>
        <w:t>30. § (3) bekezdése.</w:t>
      </w:r>
    </w:p>
    <w:p w:rsidR="0053382F" w:rsidRDefault="0053382F" w:rsidP="0053382F">
      <w:pPr>
        <w:rPr>
          <w:lang w:eastAsia="en-US"/>
        </w:rPr>
      </w:pPr>
    </w:p>
    <w:p w:rsidR="0053382F" w:rsidRPr="0053382F" w:rsidRDefault="0053382F" w:rsidP="0053382F">
      <w:pPr>
        <w:jc w:val="center"/>
        <w:rPr>
          <w:b/>
          <w:lang w:eastAsia="en-US"/>
        </w:rPr>
      </w:pPr>
      <w:r>
        <w:rPr>
          <w:b/>
          <w:lang w:eastAsia="en-US"/>
        </w:rPr>
        <w:t>2.§</w:t>
      </w:r>
    </w:p>
    <w:p w:rsidR="002F7D26" w:rsidRDefault="002F7D26" w:rsidP="002F7D26">
      <w:pPr>
        <w:rPr>
          <w:lang w:eastAsia="en-US"/>
        </w:rPr>
      </w:pPr>
    </w:p>
    <w:p w:rsidR="002F7D26" w:rsidRDefault="00880C69" w:rsidP="002F7D26">
      <w:pPr>
        <w:rPr>
          <w:lang w:eastAsia="en-US"/>
        </w:rPr>
      </w:pPr>
      <w:r>
        <w:rPr>
          <w:lang w:eastAsia="en-US"/>
        </w:rPr>
        <w:t>A Rendelet 9. § (2) bekezdése helyébe az alábbi rendelkezés lép:</w:t>
      </w:r>
    </w:p>
    <w:p w:rsidR="00880C69" w:rsidRDefault="00880C69" w:rsidP="002F7D26">
      <w:pPr>
        <w:rPr>
          <w:lang w:eastAsia="en-US"/>
        </w:rPr>
      </w:pPr>
      <w:r>
        <w:rPr>
          <w:lang w:eastAsia="en-US"/>
        </w:rPr>
        <w:t>„(2) A település területe az alábbi területfelhasználási kategóriákba tagozódik:</w:t>
      </w:r>
    </w:p>
    <w:p w:rsidR="00880C69" w:rsidRDefault="00880C69" w:rsidP="002F7D26">
      <w:pPr>
        <w:rPr>
          <w:lang w:eastAsia="en-US"/>
        </w:rPr>
      </w:pPr>
      <w:r>
        <w:rPr>
          <w:lang w:eastAsia="en-US"/>
        </w:rPr>
        <w:t xml:space="preserve">  a.) beépített és beépítésre szánt területek építési használatuk általános jellege, valamint sajátos építési használatuk szerint:</w:t>
      </w:r>
    </w:p>
    <w:p w:rsidR="00880C69" w:rsidRDefault="00880C69" w:rsidP="002F7D26">
      <w:pPr>
        <w:rPr>
          <w:lang w:eastAsia="en-US"/>
        </w:rPr>
      </w:pPr>
      <w:r>
        <w:rPr>
          <w:lang w:eastAsia="en-US"/>
        </w:rPr>
        <w:tab/>
        <w:t>aa) lakóterület: falusias lakóterület</w:t>
      </w:r>
    </w:p>
    <w:p w:rsidR="00880C69" w:rsidRDefault="00880C69" w:rsidP="002F7D26">
      <w:pPr>
        <w:rPr>
          <w:lang w:eastAsia="en-US"/>
        </w:rPr>
      </w:pPr>
      <w:r>
        <w:rPr>
          <w:lang w:eastAsia="en-US"/>
        </w:rPr>
        <w:tab/>
        <w:t xml:space="preserve">ab) vegyes terület: településközpont vegyes terület </w:t>
      </w:r>
    </w:p>
    <w:p w:rsidR="00880C69" w:rsidRDefault="00880C69" w:rsidP="002F7D26">
      <w:pPr>
        <w:rPr>
          <w:lang w:eastAsia="en-US"/>
        </w:rPr>
      </w:pPr>
      <w:r>
        <w:rPr>
          <w:lang w:eastAsia="en-US"/>
        </w:rPr>
        <w:tab/>
        <w:t>ac) gazdasági terület: ipari terület</w:t>
      </w:r>
    </w:p>
    <w:p w:rsidR="00880C69" w:rsidRDefault="00880C69" w:rsidP="002F7D26">
      <w:pPr>
        <w:rPr>
          <w:lang w:eastAsia="en-US"/>
        </w:rPr>
      </w:pPr>
      <w:r>
        <w:rPr>
          <w:lang w:eastAsia="en-US"/>
        </w:rPr>
        <w:tab/>
        <w:t>ad) különleges terület: temető terület illetve bánya terület</w:t>
      </w:r>
    </w:p>
    <w:p w:rsidR="00880C69" w:rsidRDefault="00880C69" w:rsidP="002F7D26">
      <w:pPr>
        <w:rPr>
          <w:lang w:eastAsia="en-US"/>
        </w:rPr>
      </w:pPr>
      <w:r>
        <w:rPr>
          <w:lang w:eastAsia="en-US"/>
        </w:rPr>
        <w:t xml:space="preserve">  b.) beépítésre nem szánt területek:</w:t>
      </w:r>
    </w:p>
    <w:p w:rsidR="00880C69" w:rsidRDefault="00880C69" w:rsidP="002F7D26">
      <w:pPr>
        <w:rPr>
          <w:lang w:eastAsia="en-US"/>
        </w:rPr>
      </w:pPr>
      <w:r>
        <w:rPr>
          <w:lang w:eastAsia="en-US"/>
        </w:rPr>
        <w:tab/>
        <w:t>ba) közlekedési-és közműterület</w:t>
      </w:r>
    </w:p>
    <w:p w:rsidR="00880C69" w:rsidRDefault="00880C69" w:rsidP="002F7D26">
      <w:pPr>
        <w:rPr>
          <w:lang w:eastAsia="en-US"/>
        </w:rPr>
      </w:pPr>
      <w:r>
        <w:rPr>
          <w:lang w:eastAsia="en-US"/>
        </w:rPr>
        <w:tab/>
        <w:t>bb) zöldterület</w:t>
      </w:r>
    </w:p>
    <w:p w:rsidR="00880C69" w:rsidRDefault="00880C69" w:rsidP="002F7D26">
      <w:pPr>
        <w:rPr>
          <w:lang w:eastAsia="en-US"/>
        </w:rPr>
      </w:pPr>
      <w:r>
        <w:rPr>
          <w:lang w:eastAsia="en-US"/>
        </w:rPr>
        <w:tab/>
        <w:t>bc) erdőterület</w:t>
      </w:r>
    </w:p>
    <w:p w:rsidR="00880C69" w:rsidRDefault="00880C69" w:rsidP="002F7D26">
      <w:pPr>
        <w:rPr>
          <w:lang w:eastAsia="en-US"/>
        </w:rPr>
      </w:pPr>
      <w:r>
        <w:rPr>
          <w:lang w:eastAsia="en-US"/>
        </w:rPr>
        <w:tab/>
        <w:t>bd) mezőgazdasági terület</w:t>
      </w:r>
    </w:p>
    <w:p w:rsidR="00880C69" w:rsidRDefault="00880C69" w:rsidP="002F7D26">
      <w:pPr>
        <w:rPr>
          <w:lang w:eastAsia="en-US"/>
        </w:rPr>
      </w:pPr>
      <w:r>
        <w:rPr>
          <w:lang w:eastAsia="en-US"/>
        </w:rPr>
        <w:tab/>
        <w:t>be) vízgazdálkodási terület</w:t>
      </w:r>
      <w:r w:rsidR="00114134">
        <w:rPr>
          <w:lang w:eastAsia="en-US"/>
        </w:rPr>
        <w:t>”</w:t>
      </w:r>
    </w:p>
    <w:p w:rsidR="0053382F" w:rsidRDefault="0053382F" w:rsidP="002F7D26">
      <w:pPr>
        <w:rPr>
          <w:lang w:eastAsia="en-US"/>
        </w:rPr>
      </w:pPr>
    </w:p>
    <w:p w:rsidR="0053382F" w:rsidRPr="0053382F" w:rsidRDefault="0053382F" w:rsidP="0053382F">
      <w:pPr>
        <w:jc w:val="center"/>
        <w:rPr>
          <w:b/>
          <w:lang w:eastAsia="en-US"/>
        </w:rPr>
      </w:pPr>
      <w:r>
        <w:rPr>
          <w:b/>
          <w:lang w:eastAsia="en-US"/>
        </w:rPr>
        <w:t>3. §</w:t>
      </w:r>
    </w:p>
    <w:p w:rsidR="00114134" w:rsidRDefault="00114134" w:rsidP="002F7D26">
      <w:pPr>
        <w:rPr>
          <w:lang w:eastAsia="en-US"/>
        </w:rPr>
      </w:pPr>
    </w:p>
    <w:p w:rsidR="00114134" w:rsidRDefault="00114134" w:rsidP="003F2D5C">
      <w:pPr>
        <w:pStyle w:val="Listaszerbekezds"/>
        <w:numPr>
          <w:ilvl w:val="0"/>
          <w:numId w:val="12"/>
        </w:numPr>
        <w:ind w:left="284"/>
        <w:rPr>
          <w:lang w:eastAsia="en-US"/>
        </w:rPr>
      </w:pPr>
      <w:r>
        <w:rPr>
          <w:lang w:eastAsia="en-US"/>
        </w:rPr>
        <w:t>A Rendelet 11. § (1) bekezdése helyébe az alábbi rendelkezés lép:</w:t>
      </w:r>
    </w:p>
    <w:p w:rsidR="00114134" w:rsidRDefault="00114134" w:rsidP="002F7D26">
      <w:pPr>
        <w:rPr>
          <w:lang w:eastAsia="en-US"/>
        </w:rPr>
      </w:pPr>
      <w:r>
        <w:rPr>
          <w:lang w:eastAsia="en-US"/>
        </w:rPr>
        <w:t>„ (1) A falusias lakóterületen elhelyezhető:</w:t>
      </w:r>
    </w:p>
    <w:p w:rsidR="00114134" w:rsidRDefault="00114134" w:rsidP="002F7D26">
      <w:pPr>
        <w:rPr>
          <w:lang w:eastAsia="en-US"/>
        </w:rPr>
      </w:pPr>
      <w:r>
        <w:rPr>
          <w:lang w:eastAsia="en-US"/>
        </w:rPr>
        <w:t xml:space="preserve"> a) lakóépület,</w:t>
      </w:r>
    </w:p>
    <w:p w:rsidR="00114134" w:rsidRDefault="00114134" w:rsidP="002F7D26">
      <w:pPr>
        <w:rPr>
          <w:lang w:eastAsia="en-US"/>
        </w:rPr>
      </w:pPr>
      <w:r>
        <w:rPr>
          <w:lang w:eastAsia="en-US"/>
        </w:rPr>
        <w:t xml:space="preserve"> b) mező-és erdőgazdasági (üzemi) épület,</w:t>
      </w:r>
    </w:p>
    <w:p w:rsidR="00114134" w:rsidRDefault="00114134" w:rsidP="002F7D26">
      <w:pPr>
        <w:rPr>
          <w:lang w:eastAsia="en-US"/>
        </w:rPr>
      </w:pPr>
      <w:r>
        <w:rPr>
          <w:lang w:eastAsia="en-US"/>
        </w:rPr>
        <w:t xml:space="preserve"> c) a helyi lakosságot szolgáló, nem zavaró hatású kereskedelmi, szolgáltató és kézműipari épület,</w:t>
      </w:r>
    </w:p>
    <w:p w:rsidR="00114134" w:rsidRDefault="00114134" w:rsidP="002F7D26">
      <w:pPr>
        <w:rPr>
          <w:lang w:eastAsia="en-US"/>
        </w:rPr>
      </w:pPr>
      <w:r>
        <w:rPr>
          <w:lang w:eastAsia="en-US"/>
        </w:rPr>
        <w:t xml:space="preserve"> d) vendéglátó épület,</w:t>
      </w:r>
    </w:p>
    <w:p w:rsidR="00114134" w:rsidRDefault="00114134" w:rsidP="002F7D26">
      <w:pPr>
        <w:rPr>
          <w:lang w:eastAsia="en-US"/>
        </w:rPr>
      </w:pPr>
      <w:r>
        <w:rPr>
          <w:lang w:eastAsia="en-US"/>
        </w:rPr>
        <w:t xml:space="preserve"> e) szálláshely szolgáltató épület,</w:t>
      </w:r>
    </w:p>
    <w:p w:rsidR="00114134" w:rsidRDefault="00114134" w:rsidP="002F7D26">
      <w:pPr>
        <w:rPr>
          <w:lang w:eastAsia="en-US"/>
        </w:rPr>
      </w:pPr>
      <w:r>
        <w:rPr>
          <w:lang w:eastAsia="en-US"/>
        </w:rPr>
        <w:t xml:space="preserve"> f) helyi igazgatási, egyházi, oktatási, egészségügyi, szociális épület,</w:t>
      </w:r>
    </w:p>
    <w:p w:rsidR="00114134" w:rsidRDefault="00114134" w:rsidP="002F7D26">
      <w:pPr>
        <w:rPr>
          <w:lang w:eastAsia="en-US"/>
        </w:rPr>
      </w:pPr>
      <w:r>
        <w:rPr>
          <w:lang w:eastAsia="en-US"/>
        </w:rPr>
        <w:lastRenderedPageBreak/>
        <w:t xml:space="preserve"> g) sportépítmény,</w:t>
      </w:r>
    </w:p>
    <w:p w:rsidR="00114134" w:rsidRDefault="00114134" w:rsidP="002F7D26">
      <w:pPr>
        <w:rPr>
          <w:lang w:eastAsia="en-US"/>
        </w:rPr>
      </w:pPr>
      <w:r>
        <w:rPr>
          <w:lang w:eastAsia="en-US"/>
        </w:rPr>
        <w:t xml:space="preserve"> h)üzemanyagtöltő,</w:t>
      </w:r>
    </w:p>
    <w:p w:rsidR="00114134" w:rsidRDefault="00114134" w:rsidP="002F7D26">
      <w:pPr>
        <w:rPr>
          <w:lang w:eastAsia="en-US"/>
        </w:rPr>
      </w:pPr>
      <w:r>
        <w:rPr>
          <w:lang w:eastAsia="en-US"/>
        </w:rPr>
        <w:t xml:space="preserve"> i) melléképítmény (OTÉK 1. számú melléklet fogalommeghatározása szerint).”</w:t>
      </w:r>
    </w:p>
    <w:p w:rsidR="004C6D94" w:rsidRDefault="004C6D94" w:rsidP="002F7D26">
      <w:pPr>
        <w:rPr>
          <w:lang w:eastAsia="en-US"/>
        </w:rPr>
      </w:pPr>
    </w:p>
    <w:p w:rsidR="00D17DFF" w:rsidRDefault="00D17DFF" w:rsidP="004C6D94">
      <w:pPr>
        <w:pStyle w:val="Listaszerbekezds"/>
        <w:numPr>
          <w:ilvl w:val="0"/>
          <w:numId w:val="12"/>
        </w:numPr>
        <w:ind w:left="284"/>
        <w:jc w:val="both"/>
        <w:rPr>
          <w:lang w:eastAsia="en-US"/>
        </w:rPr>
      </w:pPr>
      <w:r>
        <w:rPr>
          <w:lang w:eastAsia="en-US"/>
        </w:rPr>
        <w:t>A Rendelet 11. § (11) bekezdésében a falusias lakóterület építési övezeteiben</w:t>
      </w:r>
      <w:r w:rsidR="003808E3">
        <w:rPr>
          <w:lang w:eastAsia="en-US"/>
        </w:rPr>
        <w:t xml:space="preserve"> a kialakult beépítés figyelembevételével</w:t>
      </w:r>
      <w:r>
        <w:rPr>
          <w:lang w:eastAsia="en-US"/>
        </w:rPr>
        <w:t xml:space="preserve"> alkalmazandó</w:t>
      </w:r>
      <w:r w:rsidR="003F75CF">
        <w:rPr>
          <w:lang w:eastAsia="en-US"/>
        </w:rPr>
        <w:t>,</w:t>
      </w:r>
      <w:r>
        <w:rPr>
          <w:lang w:eastAsia="en-US"/>
        </w:rPr>
        <w:t xml:space="preserve"> telekalakítási és beépítési előírásokat tartalmazó táblázat a Rendelet 2. mellékletébe kerül. A Rendelet 11. § (11) bekezdése helyébe az alábbi rendelkezés lép:</w:t>
      </w:r>
    </w:p>
    <w:p w:rsidR="00D17DFF" w:rsidRDefault="00D17DFF" w:rsidP="004C6D94">
      <w:pPr>
        <w:ind w:left="284"/>
        <w:jc w:val="both"/>
        <w:rPr>
          <w:lang w:eastAsia="en-US"/>
        </w:rPr>
      </w:pPr>
      <w:r>
        <w:rPr>
          <w:lang w:eastAsia="en-US"/>
        </w:rPr>
        <w:t xml:space="preserve">„(11) A falusias lakóterület építési övezeteiben a kialakult beépítés figyelembevételével alkalmazandó telekalakítási és beépítési előírásokat a Rendelet </w:t>
      </w:r>
      <w:r w:rsidR="0070395A">
        <w:rPr>
          <w:lang w:eastAsia="en-US"/>
        </w:rPr>
        <w:t>2. melléklete tartalmazza.”</w:t>
      </w:r>
    </w:p>
    <w:p w:rsidR="0053382F" w:rsidRDefault="0053382F" w:rsidP="0070395A">
      <w:pPr>
        <w:jc w:val="both"/>
        <w:rPr>
          <w:lang w:eastAsia="en-US"/>
        </w:rPr>
      </w:pPr>
    </w:p>
    <w:p w:rsidR="0053382F" w:rsidRPr="0053382F" w:rsidRDefault="0053382F" w:rsidP="0053382F">
      <w:pPr>
        <w:jc w:val="center"/>
        <w:rPr>
          <w:b/>
          <w:lang w:eastAsia="en-US"/>
        </w:rPr>
      </w:pPr>
      <w:r>
        <w:rPr>
          <w:b/>
          <w:lang w:eastAsia="en-US"/>
        </w:rPr>
        <w:t>4. §</w:t>
      </w:r>
    </w:p>
    <w:p w:rsidR="0070395A" w:rsidRDefault="0070395A" w:rsidP="0070395A">
      <w:pPr>
        <w:jc w:val="both"/>
        <w:rPr>
          <w:lang w:eastAsia="en-US"/>
        </w:rPr>
      </w:pPr>
    </w:p>
    <w:p w:rsidR="0070395A" w:rsidRDefault="0070395A" w:rsidP="0070395A">
      <w:pPr>
        <w:jc w:val="both"/>
        <w:rPr>
          <w:lang w:eastAsia="en-US"/>
        </w:rPr>
      </w:pPr>
      <w:r>
        <w:rPr>
          <w:lang w:eastAsia="en-US"/>
        </w:rPr>
        <w:t>A Rendelet 12. § (2) bekezdése helyébe az alábbi rendelkezés lép:</w:t>
      </w:r>
    </w:p>
    <w:p w:rsidR="0070395A" w:rsidRDefault="0070395A" w:rsidP="0070395A">
      <w:pPr>
        <w:jc w:val="both"/>
        <w:rPr>
          <w:lang w:eastAsia="en-US"/>
        </w:rPr>
      </w:pPr>
      <w:r>
        <w:rPr>
          <w:lang w:eastAsia="en-US"/>
        </w:rPr>
        <w:t>„(2) A vegyes terület településközpont vegyes terület lehet.”</w:t>
      </w:r>
    </w:p>
    <w:p w:rsidR="0053382F" w:rsidRDefault="0053382F" w:rsidP="0070395A">
      <w:pPr>
        <w:jc w:val="both"/>
        <w:rPr>
          <w:lang w:eastAsia="en-US"/>
        </w:rPr>
      </w:pPr>
    </w:p>
    <w:p w:rsidR="0053382F" w:rsidRPr="0053382F" w:rsidRDefault="0053382F" w:rsidP="0053382F">
      <w:pPr>
        <w:jc w:val="center"/>
        <w:rPr>
          <w:b/>
          <w:lang w:eastAsia="en-US"/>
        </w:rPr>
      </w:pPr>
      <w:r>
        <w:rPr>
          <w:b/>
          <w:lang w:eastAsia="en-US"/>
        </w:rPr>
        <w:t>5.§</w:t>
      </w:r>
    </w:p>
    <w:p w:rsidR="0070395A" w:rsidRDefault="0070395A" w:rsidP="0070395A">
      <w:pPr>
        <w:jc w:val="both"/>
        <w:rPr>
          <w:lang w:eastAsia="en-US"/>
        </w:rPr>
      </w:pPr>
    </w:p>
    <w:p w:rsidR="0070395A" w:rsidRDefault="0053382F" w:rsidP="0070395A">
      <w:pPr>
        <w:jc w:val="both"/>
        <w:rPr>
          <w:lang w:eastAsia="en-US"/>
        </w:rPr>
      </w:pPr>
      <w:r>
        <w:rPr>
          <w:lang w:eastAsia="en-US"/>
        </w:rPr>
        <w:t xml:space="preserve">(1) </w:t>
      </w:r>
      <w:r w:rsidR="0070395A">
        <w:rPr>
          <w:lang w:eastAsia="en-US"/>
        </w:rPr>
        <w:t>A Rendelet 13. § (2) bekezdése helyébe az alábbi rendelkezés lép:</w:t>
      </w:r>
    </w:p>
    <w:p w:rsidR="0070395A" w:rsidRDefault="0070395A" w:rsidP="0070395A">
      <w:pPr>
        <w:jc w:val="both"/>
        <w:rPr>
          <w:lang w:eastAsia="en-US"/>
        </w:rPr>
      </w:pPr>
      <w:r>
        <w:rPr>
          <w:lang w:eastAsia="en-US"/>
        </w:rPr>
        <w:t xml:space="preserve">„(2) A településközpont vegyes területen, a (3) bekezdésben foglaltak kivételével </w:t>
      </w:r>
      <w:r w:rsidR="003808E3">
        <w:rPr>
          <w:lang w:eastAsia="en-US"/>
        </w:rPr>
        <w:t>az OTÉK  településközpont területre vonatkozó szabályai szerinti épületek helyezhetők el.”</w:t>
      </w:r>
    </w:p>
    <w:p w:rsidR="003808E3" w:rsidRDefault="003808E3" w:rsidP="0070395A">
      <w:pPr>
        <w:jc w:val="both"/>
        <w:rPr>
          <w:lang w:eastAsia="en-US"/>
        </w:rPr>
      </w:pPr>
    </w:p>
    <w:p w:rsidR="003808E3" w:rsidRDefault="0053382F" w:rsidP="0070395A">
      <w:pPr>
        <w:jc w:val="both"/>
        <w:rPr>
          <w:lang w:eastAsia="en-US"/>
        </w:rPr>
      </w:pPr>
      <w:r>
        <w:rPr>
          <w:lang w:eastAsia="en-US"/>
        </w:rPr>
        <w:t xml:space="preserve">(2) </w:t>
      </w:r>
      <w:r w:rsidR="003808E3">
        <w:rPr>
          <w:lang w:eastAsia="en-US"/>
        </w:rPr>
        <w:t xml:space="preserve">A Rendelet 13. § (4) bekezdésében a településközpont vegyes terület építési övezeteiben a kialakult beépítés figyelembevételével alkalmazandó, </w:t>
      </w:r>
      <w:r w:rsidR="003F75CF">
        <w:rPr>
          <w:lang w:eastAsia="en-US"/>
        </w:rPr>
        <w:t>telekalakítási és beépítési előírásokat tartalmazó táblázat a Rendelet 3. mellékletébe kerül. A Rendelet 13. § (4) bekezdése helyébe az alábbi rendelkezés lép:</w:t>
      </w:r>
    </w:p>
    <w:p w:rsidR="003F75CF" w:rsidRDefault="003F75CF" w:rsidP="0070395A">
      <w:pPr>
        <w:jc w:val="both"/>
        <w:rPr>
          <w:lang w:eastAsia="en-US"/>
        </w:rPr>
      </w:pPr>
      <w:r>
        <w:rPr>
          <w:lang w:eastAsia="en-US"/>
        </w:rPr>
        <w:t>„(4) A településközpont vegyes terület építési övezeteiben a kialakult beépítés figyelembevételével alkalmazandó telekalakítási és beépítési előírásokat a Rendelet 3. melléklete tartalmazza.”</w:t>
      </w:r>
    </w:p>
    <w:p w:rsidR="0053382F" w:rsidRDefault="0053382F" w:rsidP="0070395A">
      <w:pPr>
        <w:jc w:val="both"/>
        <w:rPr>
          <w:lang w:eastAsia="en-US"/>
        </w:rPr>
      </w:pPr>
    </w:p>
    <w:p w:rsidR="0053382F" w:rsidRPr="0053382F" w:rsidRDefault="0053382F" w:rsidP="0053382F">
      <w:pPr>
        <w:jc w:val="center"/>
        <w:rPr>
          <w:b/>
          <w:lang w:eastAsia="en-US"/>
        </w:rPr>
      </w:pPr>
      <w:r>
        <w:rPr>
          <w:b/>
          <w:lang w:eastAsia="en-US"/>
        </w:rPr>
        <w:t>6. §</w:t>
      </w:r>
    </w:p>
    <w:p w:rsidR="00E508FF" w:rsidRDefault="00E508FF" w:rsidP="0070395A">
      <w:pPr>
        <w:jc w:val="both"/>
        <w:rPr>
          <w:lang w:eastAsia="en-US"/>
        </w:rPr>
      </w:pPr>
    </w:p>
    <w:p w:rsidR="00E508FF" w:rsidRDefault="00E508FF" w:rsidP="0070395A">
      <w:pPr>
        <w:jc w:val="both"/>
        <w:rPr>
          <w:lang w:eastAsia="en-US"/>
        </w:rPr>
      </w:pPr>
      <w:r>
        <w:rPr>
          <w:lang w:eastAsia="en-US"/>
        </w:rPr>
        <w:t>A Rendelet 14. § (2) bekezdés helyébe az alábbi rendelkezés lép:</w:t>
      </w:r>
    </w:p>
    <w:p w:rsidR="00E508FF" w:rsidRDefault="00E508FF" w:rsidP="0070395A">
      <w:pPr>
        <w:jc w:val="both"/>
        <w:rPr>
          <w:lang w:eastAsia="en-US"/>
        </w:rPr>
      </w:pPr>
      <w:r>
        <w:rPr>
          <w:lang w:eastAsia="en-US"/>
        </w:rPr>
        <w:t>„(2) A gazdasági terület lehet:</w:t>
      </w:r>
    </w:p>
    <w:p w:rsidR="00E508FF" w:rsidRDefault="00E508FF" w:rsidP="0070395A">
      <w:pPr>
        <w:jc w:val="both"/>
        <w:rPr>
          <w:lang w:eastAsia="en-US"/>
        </w:rPr>
      </w:pPr>
      <w:r>
        <w:rPr>
          <w:lang w:eastAsia="en-US"/>
        </w:rPr>
        <w:t xml:space="preserve"> a) ipari terület</w:t>
      </w:r>
    </w:p>
    <w:p w:rsidR="00E508FF" w:rsidRDefault="00E508FF" w:rsidP="0070395A">
      <w:pPr>
        <w:jc w:val="both"/>
        <w:rPr>
          <w:lang w:eastAsia="en-US"/>
        </w:rPr>
      </w:pPr>
      <w:r>
        <w:rPr>
          <w:lang w:eastAsia="en-US"/>
        </w:rPr>
        <w:t xml:space="preserve"> b) egyéb ipar”</w:t>
      </w:r>
    </w:p>
    <w:p w:rsidR="00FE5757" w:rsidRDefault="00FE5757" w:rsidP="0070395A">
      <w:pPr>
        <w:jc w:val="both"/>
        <w:rPr>
          <w:lang w:eastAsia="en-US"/>
        </w:rPr>
      </w:pPr>
    </w:p>
    <w:p w:rsidR="00FE5757" w:rsidRPr="00FE5757" w:rsidRDefault="00FE5757" w:rsidP="00FE5757">
      <w:pPr>
        <w:jc w:val="center"/>
        <w:rPr>
          <w:b/>
          <w:lang w:eastAsia="en-US"/>
        </w:rPr>
      </w:pPr>
      <w:r>
        <w:rPr>
          <w:b/>
          <w:lang w:eastAsia="en-US"/>
        </w:rPr>
        <w:t>7. §</w:t>
      </w:r>
    </w:p>
    <w:p w:rsidR="00E508FF" w:rsidRDefault="00E508FF" w:rsidP="0070395A">
      <w:pPr>
        <w:jc w:val="both"/>
        <w:rPr>
          <w:lang w:eastAsia="en-US"/>
        </w:rPr>
      </w:pPr>
    </w:p>
    <w:p w:rsidR="00E508FF" w:rsidRDefault="00F21824" w:rsidP="0070395A">
      <w:pPr>
        <w:jc w:val="both"/>
        <w:rPr>
          <w:lang w:eastAsia="en-US"/>
        </w:rPr>
      </w:pPr>
      <w:r>
        <w:rPr>
          <w:lang w:eastAsia="en-US"/>
        </w:rPr>
        <w:t xml:space="preserve">(1) </w:t>
      </w:r>
      <w:r w:rsidR="00E508FF">
        <w:rPr>
          <w:lang w:eastAsia="en-US"/>
        </w:rPr>
        <w:t>A Rendelet 15. § (2)</w:t>
      </w:r>
      <w:r w:rsidR="005E2771">
        <w:rPr>
          <w:lang w:eastAsia="en-US"/>
        </w:rPr>
        <w:t>-(3)</w:t>
      </w:r>
      <w:r w:rsidR="00E508FF">
        <w:rPr>
          <w:lang w:eastAsia="en-US"/>
        </w:rPr>
        <w:t xml:space="preserve"> bekezdése</w:t>
      </w:r>
      <w:r w:rsidR="005E2771">
        <w:rPr>
          <w:lang w:eastAsia="en-US"/>
        </w:rPr>
        <w:t>i</w:t>
      </w:r>
      <w:r w:rsidR="00E508FF">
        <w:rPr>
          <w:lang w:eastAsia="en-US"/>
        </w:rPr>
        <w:t xml:space="preserve"> helyébe az alábbi rendelkezés</w:t>
      </w:r>
      <w:r w:rsidR="005E2771">
        <w:rPr>
          <w:lang w:eastAsia="en-US"/>
        </w:rPr>
        <w:t>ek</w:t>
      </w:r>
      <w:r w:rsidR="00E508FF">
        <w:rPr>
          <w:lang w:eastAsia="en-US"/>
        </w:rPr>
        <w:t xml:space="preserve"> lép</w:t>
      </w:r>
      <w:r w:rsidR="005E2771">
        <w:rPr>
          <w:lang w:eastAsia="en-US"/>
        </w:rPr>
        <w:t>nek</w:t>
      </w:r>
      <w:r w:rsidR="00E508FF">
        <w:rPr>
          <w:lang w:eastAsia="en-US"/>
        </w:rPr>
        <w:t>:</w:t>
      </w:r>
    </w:p>
    <w:p w:rsidR="00E508FF" w:rsidRDefault="00E508FF" w:rsidP="0070395A">
      <w:pPr>
        <w:jc w:val="both"/>
        <w:rPr>
          <w:lang w:eastAsia="en-US"/>
        </w:rPr>
      </w:pPr>
      <w:bookmarkStart w:id="0" w:name="_Hlk487014235"/>
      <w:r>
        <w:rPr>
          <w:lang w:eastAsia="en-US"/>
        </w:rPr>
        <w:t>„</w:t>
      </w:r>
      <w:r w:rsidR="005E2771">
        <w:rPr>
          <w:lang w:eastAsia="en-US"/>
        </w:rPr>
        <w:t>(2) Az egyéb ipari terület egyéb ipari terület – ipar /GIPE/ építési övezetre tagozódik.</w:t>
      </w:r>
    </w:p>
    <w:p w:rsidR="00114134" w:rsidRDefault="005E2771" w:rsidP="0070395A">
      <w:pPr>
        <w:jc w:val="both"/>
        <w:rPr>
          <w:lang w:eastAsia="en-US"/>
        </w:rPr>
      </w:pPr>
      <w:r>
        <w:rPr>
          <w:lang w:eastAsia="en-US"/>
        </w:rPr>
        <w:t>(3) A GIPe. jelű építési övezetben elhelyezhető:</w:t>
      </w:r>
    </w:p>
    <w:p w:rsidR="005E2771" w:rsidRDefault="005E2771" w:rsidP="0070395A">
      <w:pPr>
        <w:jc w:val="both"/>
        <w:rPr>
          <w:lang w:eastAsia="en-US"/>
        </w:rPr>
      </w:pPr>
      <w:r>
        <w:rPr>
          <w:lang w:eastAsia="en-US"/>
        </w:rPr>
        <w:t xml:space="preserve">  a) mindenfajta, nem jelentős zavaró hatású gazdasági tevékenységi célú épület,</w:t>
      </w:r>
    </w:p>
    <w:p w:rsidR="005E2771" w:rsidRDefault="005E2771" w:rsidP="0070395A">
      <w:pPr>
        <w:jc w:val="both"/>
        <w:rPr>
          <w:lang w:eastAsia="en-US"/>
        </w:rPr>
      </w:pPr>
      <w:r>
        <w:rPr>
          <w:lang w:eastAsia="en-US"/>
        </w:rPr>
        <w:t xml:space="preserve">  b) egyéb irodaépületek,</w:t>
      </w:r>
    </w:p>
    <w:p w:rsidR="005E2771" w:rsidRDefault="005E2771" w:rsidP="0070395A">
      <w:pPr>
        <w:jc w:val="both"/>
        <w:rPr>
          <w:lang w:eastAsia="en-US"/>
        </w:rPr>
      </w:pPr>
      <w:r>
        <w:rPr>
          <w:lang w:eastAsia="en-US"/>
        </w:rPr>
        <w:t xml:space="preserve">  c) üzemanyagtöltő.”</w:t>
      </w:r>
    </w:p>
    <w:bookmarkEnd w:id="0"/>
    <w:p w:rsidR="005E2771" w:rsidRDefault="005E2771" w:rsidP="0070395A">
      <w:pPr>
        <w:jc w:val="both"/>
        <w:rPr>
          <w:lang w:eastAsia="en-US"/>
        </w:rPr>
      </w:pPr>
    </w:p>
    <w:p w:rsidR="005E2771" w:rsidRDefault="00F21824" w:rsidP="0070395A">
      <w:pPr>
        <w:jc w:val="both"/>
        <w:rPr>
          <w:lang w:eastAsia="en-US"/>
        </w:rPr>
      </w:pPr>
      <w:r>
        <w:rPr>
          <w:lang w:eastAsia="en-US"/>
        </w:rPr>
        <w:t xml:space="preserve">(2) </w:t>
      </w:r>
      <w:r w:rsidR="005E2771">
        <w:rPr>
          <w:lang w:eastAsia="en-US"/>
        </w:rPr>
        <w:t>A Rendelet 15. § (5) bekezdése helyébe az alábbi rendelkezés lép:</w:t>
      </w:r>
    </w:p>
    <w:p w:rsidR="005E2771" w:rsidRDefault="005E2771" w:rsidP="0070395A">
      <w:pPr>
        <w:jc w:val="both"/>
        <w:rPr>
          <w:lang w:eastAsia="en-US"/>
        </w:rPr>
      </w:pPr>
      <w:bookmarkStart w:id="1" w:name="_Hlk487014247"/>
      <w:r>
        <w:rPr>
          <w:lang w:eastAsia="en-US"/>
        </w:rPr>
        <w:t xml:space="preserve">(5) </w:t>
      </w:r>
      <w:bookmarkStart w:id="2" w:name="_Hlk487014324"/>
      <w:r>
        <w:rPr>
          <w:lang w:eastAsia="en-US"/>
        </w:rPr>
        <w:t>A GIPe jelű építési övezetiben az épületek az alábbiak szerint kialakított építési helyen belül helyezhetők el:</w:t>
      </w:r>
    </w:p>
    <w:p w:rsidR="005E2771" w:rsidRDefault="005E2771" w:rsidP="0070395A">
      <w:pPr>
        <w:jc w:val="both"/>
        <w:rPr>
          <w:lang w:eastAsia="en-US"/>
        </w:rPr>
      </w:pPr>
      <w:r>
        <w:rPr>
          <w:lang w:eastAsia="en-US"/>
        </w:rPr>
        <w:t xml:space="preserve">  </w:t>
      </w:r>
      <w:bookmarkStart w:id="3" w:name="_Hlk487014380"/>
      <w:r>
        <w:rPr>
          <w:lang w:eastAsia="en-US"/>
        </w:rPr>
        <w:t>a) előkert mértéke minimum 5,0 méter,</w:t>
      </w:r>
    </w:p>
    <w:p w:rsidR="005E2771" w:rsidRDefault="005E2771" w:rsidP="0070395A">
      <w:pPr>
        <w:jc w:val="both"/>
        <w:rPr>
          <w:lang w:eastAsia="en-US"/>
        </w:rPr>
      </w:pPr>
      <w:r>
        <w:rPr>
          <w:lang w:eastAsia="en-US"/>
        </w:rPr>
        <w:t xml:space="preserve">  b) oldalkert mértéke nem lehet kisebb az OTÉK szerint meghatározott legkisebb távolságnál, sem 5,0 méternél,</w:t>
      </w:r>
    </w:p>
    <w:p w:rsidR="005E2771" w:rsidRDefault="005E2771" w:rsidP="0070395A">
      <w:pPr>
        <w:jc w:val="both"/>
        <w:rPr>
          <w:lang w:eastAsia="en-US"/>
        </w:rPr>
      </w:pPr>
      <w:r>
        <w:rPr>
          <w:lang w:eastAsia="en-US"/>
        </w:rPr>
        <w:t xml:space="preserve">  c) a hátsókert mértéke nem lehet kisebb sem az OTÉK szerint meghatározott legkisebb távolságnál, sem 10, 0 méternél</w:t>
      </w:r>
      <w:bookmarkEnd w:id="2"/>
      <w:r>
        <w:rPr>
          <w:lang w:eastAsia="en-US"/>
        </w:rPr>
        <w:t>.</w:t>
      </w:r>
      <w:bookmarkEnd w:id="1"/>
      <w:bookmarkEnd w:id="3"/>
      <w:r>
        <w:rPr>
          <w:lang w:eastAsia="en-US"/>
        </w:rPr>
        <w:t>”</w:t>
      </w:r>
    </w:p>
    <w:p w:rsidR="005E2771" w:rsidRDefault="005E2771" w:rsidP="0070395A">
      <w:pPr>
        <w:jc w:val="both"/>
        <w:rPr>
          <w:lang w:eastAsia="en-US"/>
        </w:rPr>
      </w:pPr>
    </w:p>
    <w:p w:rsidR="005E2771" w:rsidRDefault="00FF1A20" w:rsidP="0070395A">
      <w:pPr>
        <w:jc w:val="both"/>
        <w:rPr>
          <w:lang w:eastAsia="en-US"/>
        </w:rPr>
      </w:pPr>
      <w:r>
        <w:rPr>
          <w:lang w:eastAsia="en-US"/>
        </w:rPr>
        <w:t>(3)</w:t>
      </w:r>
      <w:r w:rsidR="005E2771">
        <w:rPr>
          <w:lang w:eastAsia="en-US"/>
        </w:rPr>
        <w:t xml:space="preserve">A Rendelet 15. § (6) bekezdésében </w:t>
      </w:r>
      <w:r w:rsidR="00AE5856">
        <w:rPr>
          <w:lang w:eastAsia="en-US"/>
        </w:rPr>
        <w:t>az egyéb ipari terület építési övezeteiben alkalmazandó, telekalakítási és beépítési előírásokat tartalmazó táblázat a Rendelet 4. mellékletébe kerül. A Rendelet 15. § (6) bekezdése helyébe az alábbi rendelkezés lép:</w:t>
      </w:r>
    </w:p>
    <w:p w:rsidR="00AE5856" w:rsidRDefault="00AE5856" w:rsidP="0070395A">
      <w:pPr>
        <w:jc w:val="both"/>
        <w:rPr>
          <w:lang w:eastAsia="en-US"/>
        </w:rPr>
      </w:pPr>
      <w:r>
        <w:rPr>
          <w:lang w:eastAsia="en-US"/>
        </w:rPr>
        <w:t xml:space="preserve">„(6) </w:t>
      </w:r>
      <w:bookmarkStart w:id="4" w:name="_Hlk487014460"/>
      <w:r>
        <w:rPr>
          <w:lang w:eastAsia="en-US"/>
        </w:rPr>
        <w:t>Az egyéb ipari terület építési övezeteiben alkalmazandó telekalakítási és beépítési előírásokat a Rendelet 4. melléklete tartalmazza</w:t>
      </w:r>
      <w:bookmarkEnd w:id="4"/>
      <w:r>
        <w:rPr>
          <w:lang w:eastAsia="en-US"/>
        </w:rPr>
        <w: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8. §</w:t>
      </w:r>
    </w:p>
    <w:p w:rsidR="00AE5856" w:rsidRDefault="00AE5856" w:rsidP="0070395A">
      <w:pPr>
        <w:jc w:val="both"/>
        <w:rPr>
          <w:lang w:eastAsia="en-US"/>
        </w:rPr>
      </w:pPr>
    </w:p>
    <w:p w:rsidR="00AE5856" w:rsidRDefault="00FF1A20" w:rsidP="0070395A">
      <w:pPr>
        <w:jc w:val="both"/>
        <w:rPr>
          <w:lang w:eastAsia="en-US"/>
        </w:rPr>
      </w:pPr>
      <w:r>
        <w:rPr>
          <w:lang w:eastAsia="en-US"/>
        </w:rPr>
        <w:t xml:space="preserve">(1) </w:t>
      </w:r>
      <w:r w:rsidR="00AE5856">
        <w:rPr>
          <w:lang w:eastAsia="en-US"/>
        </w:rPr>
        <w:t>A Rendelet 16. § (2) bekezdése helyébe az alábbi rendelkezés lép:</w:t>
      </w:r>
    </w:p>
    <w:p w:rsidR="00AE5856" w:rsidRDefault="00AE5856" w:rsidP="0070395A">
      <w:pPr>
        <w:jc w:val="both"/>
        <w:rPr>
          <w:lang w:eastAsia="en-US"/>
        </w:rPr>
      </w:pPr>
      <w:r>
        <w:rPr>
          <w:lang w:eastAsia="en-US"/>
        </w:rPr>
        <w:t>„(2) Különleges terület területfelhasználási kategóriájú területek:</w:t>
      </w:r>
    </w:p>
    <w:p w:rsidR="00AE5856" w:rsidRDefault="00AE5856" w:rsidP="0070395A">
      <w:pPr>
        <w:jc w:val="both"/>
        <w:rPr>
          <w:lang w:eastAsia="en-US"/>
        </w:rPr>
      </w:pPr>
      <w:r>
        <w:rPr>
          <w:lang w:eastAsia="en-US"/>
        </w:rPr>
        <w:t xml:space="preserve">  a) </w:t>
      </w:r>
      <w:r>
        <w:rPr>
          <w:b/>
          <w:lang w:eastAsia="en-US"/>
        </w:rPr>
        <w:t xml:space="preserve">KTE </w:t>
      </w:r>
      <w:r>
        <w:rPr>
          <w:lang w:eastAsia="en-US"/>
        </w:rPr>
        <w:t>övezeti jelű temető terület,</w:t>
      </w:r>
    </w:p>
    <w:p w:rsidR="00AE5856" w:rsidRDefault="00AE5856" w:rsidP="0070395A">
      <w:pPr>
        <w:jc w:val="both"/>
        <w:rPr>
          <w:lang w:eastAsia="en-US"/>
        </w:rPr>
      </w:pPr>
      <w:r>
        <w:rPr>
          <w:b/>
          <w:lang w:eastAsia="en-US"/>
        </w:rPr>
        <w:t xml:space="preserve">  </w:t>
      </w:r>
      <w:r w:rsidRPr="00AE5856">
        <w:rPr>
          <w:lang w:eastAsia="en-US"/>
        </w:rPr>
        <w:t>b)</w:t>
      </w:r>
      <w:r>
        <w:rPr>
          <w:lang w:eastAsia="en-US"/>
        </w:rPr>
        <w:t xml:space="preserve"> </w:t>
      </w:r>
      <w:r>
        <w:rPr>
          <w:b/>
          <w:lang w:eastAsia="en-US"/>
        </w:rPr>
        <w:t xml:space="preserve">KB </w:t>
      </w:r>
      <w:r>
        <w:rPr>
          <w:lang w:eastAsia="en-US"/>
        </w:rPr>
        <w:t>övezeti jelű bánya terület.”</w:t>
      </w:r>
    </w:p>
    <w:p w:rsidR="00613879" w:rsidRDefault="00613879" w:rsidP="0070395A">
      <w:pPr>
        <w:jc w:val="both"/>
        <w:rPr>
          <w:lang w:eastAsia="en-US"/>
        </w:rPr>
      </w:pPr>
    </w:p>
    <w:p w:rsidR="00613879" w:rsidRDefault="00FF1A20" w:rsidP="0070395A">
      <w:pPr>
        <w:jc w:val="both"/>
        <w:rPr>
          <w:lang w:eastAsia="en-US"/>
        </w:rPr>
      </w:pPr>
      <w:r>
        <w:rPr>
          <w:lang w:eastAsia="en-US"/>
        </w:rPr>
        <w:t xml:space="preserve">(2) </w:t>
      </w:r>
      <w:r w:rsidR="00613879">
        <w:rPr>
          <w:lang w:eastAsia="en-US"/>
        </w:rPr>
        <w:t>A Rendelet 16. § (9) bekezdésében a különleges terület építési övezeteiben alkalmazandó, telekalakítási és beépítési előírásokat tartalmazó táblázat a Rendelet 5. mellékletébe kerül. A Rendelet 16. § (9) bekezdése helyébe az alábbi rendelkezés lép:</w:t>
      </w:r>
    </w:p>
    <w:p w:rsidR="00613879" w:rsidRDefault="00613879" w:rsidP="0070395A">
      <w:pPr>
        <w:jc w:val="both"/>
        <w:rPr>
          <w:lang w:eastAsia="en-US"/>
        </w:rPr>
      </w:pPr>
      <w:r>
        <w:rPr>
          <w:lang w:eastAsia="en-US"/>
        </w:rPr>
        <w:t xml:space="preserve">„(9) </w:t>
      </w:r>
      <w:bookmarkStart w:id="5" w:name="_Hlk487014754"/>
      <w:r>
        <w:rPr>
          <w:lang w:eastAsia="en-US"/>
        </w:rPr>
        <w:t>A különleges terület építési övezeteiben alkalmazandó telekalakítási és beépítési előírásokat a Rendelet 5. melléklete tartalmazza</w:t>
      </w:r>
      <w:bookmarkEnd w:id="5"/>
      <w:r>
        <w:rPr>
          <w:lang w:eastAsia="en-US"/>
        </w:rPr>
        <w: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9. §</w:t>
      </w:r>
    </w:p>
    <w:p w:rsidR="00613879" w:rsidRDefault="00613879" w:rsidP="0070395A">
      <w:pPr>
        <w:jc w:val="both"/>
        <w:rPr>
          <w:lang w:eastAsia="en-US"/>
        </w:rPr>
      </w:pPr>
    </w:p>
    <w:p w:rsidR="00613879" w:rsidRDefault="00D579E7" w:rsidP="0070395A">
      <w:pPr>
        <w:jc w:val="both"/>
        <w:rPr>
          <w:lang w:eastAsia="en-US"/>
        </w:rPr>
      </w:pPr>
      <w:r>
        <w:rPr>
          <w:lang w:eastAsia="en-US"/>
        </w:rPr>
        <w:t>A Rendelet 19. § (2) bekezdése helyébe az alábbi rendelkezés lép:</w:t>
      </w:r>
    </w:p>
    <w:p w:rsidR="00D579E7" w:rsidRDefault="00D579E7" w:rsidP="0070395A">
      <w:pPr>
        <w:jc w:val="both"/>
        <w:rPr>
          <w:lang w:eastAsia="en-US"/>
        </w:rPr>
      </w:pPr>
      <w:r>
        <w:rPr>
          <w:lang w:eastAsia="en-US"/>
        </w:rPr>
        <w:t xml:space="preserve">„(2) </w:t>
      </w:r>
      <w:bookmarkStart w:id="6" w:name="_Hlk487014843"/>
      <w:r>
        <w:rPr>
          <w:lang w:eastAsia="en-US"/>
        </w:rPr>
        <w:t xml:space="preserve">Zöldterület területfelhasználási kategóriájú terület: </w:t>
      </w:r>
      <w:r>
        <w:rPr>
          <w:b/>
          <w:lang w:eastAsia="en-US"/>
        </w:rPr>
        <w:t xml:space="preserve">Z </w:t>
      </w:r>
      <w:r>
        <w:rPr>
          <w:lang w:eastAsia="en-US"/>
        </w:rPr>
        <w:t>övezeti jelű zöldterület</w:t>
      </w:r>
      <w:bookmarkEnd w:id="6"/>
      <w:r>
        <w:rPr>
          <w:lang w:eastAsia="en-US"/>
        </w:rPr>
        <w: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10. §</w:t>
      </w:r>
    </w:p>
    <w:p w:rsidR="00D579E7" w:rsidRDefault="00D579E7" w:rsidP="0070395A">
      <w:pPr>
        <w:jc w:val="both"/>
        <w:rPr>
          <w:lang w:eastAsia="en-US"/>
        </w:rPr>
      </w:pPr>
    </w:p>
    <w:p w:rsidR="00D579E7" w:rsidRDefault="00D579E7" w:rsidP="0070395A">
      <w:pPr>
        <w:jc w:val="both"/>
        <w:rPr>
          <w:lang w:eastAsia="en-US"/>
        </w:rPr>
      </w:pPr>
      <w:r>
        <w:rPr>
          <w:lang w:eastAsia="en-US"/>
        </w:rPr>
        <w:t>A Rendelet 21. § (2) bekezdése helyébe az alábbi rendelkezés lép:</w:t>
      </w:r>
    </w:p>
    <w:p w:rsidR="00D579E7" w:rsidRDefault="00D579E7" w:rsidP="0070395A">
      <w:pPr>
        <w:jc w:val="both"/>
        <w:rPr>
          <w:lang w:eastAsia="en-US"/>
        </w:rPr>
      </w:pPr>
      <w:r>
        <w:rPr>
          <w:lang w:eastAsia="en-US"/>
        </w:rPr>
        <w:t>„(2) A mezőgazdasági terület általános mezőgazdasági terület lehet.”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11. §</w:t>
      </w:r>
    </w:p>
    <w:p w:rsidR="0006714E" w:rsidRDefault="0006714E" w:rsidP="0070395A">
      <w:pPr>
        <w:jc w:val="both"/>
        <w:rPr>
          <w:lang w:eastAsia="en-US"/>
        </w:rPr>
      </w:pPr>
    </w:p>
    <w:p w:rsidR="0006714E" w:rsidRDefault="0006714E" w:rsidP="0070395A">
      <w:pPr>
        <w:jc w:val="both"/>
        <w:rPr>
          <w:lang w:eastAsia="en-US"/>
        </w:rPr>
      </w:pPr>
      <w:r>
        <w:rPr>
          <w:lang w:eastAsia="en-US"/>
        </w:rPr>
        <w:t>A Rendelet 31. § (1) bekezdése helyébe az alábbi rendelkezés lép:</w:t>
      </w:r>
    </w:p>
    <w:p w:rsidR="0006714E" w:rsidRDefault="0006714E" w:rsidP="0070395A">
      <w:pPr>
        <w:jc w:val="both"/>
        <w:rPr>
          <w:lang w:eastAsia="en-US"/>
        </w:rPr>
      </w:pPr>
      <w:r>
        <w:rPr>
          <w:lang w:eastAsia="en-US"/>
        </w:rPr>
        <w:t xml:space="preserve">„(1) </w:t>
      </w:r>
      <w:bookmarkStart w:id="7" w:name="_Hlk487015022"/>
      <w:r>
        <w:rPr>
          <w:lang w:eastAsia="en-US"/>
        </w:rPr>
        <w:t xml:space="preserve">A helyi értékvédelem a </w:t>
      </w:r>
      <w:r>
        <w:rPr>
          <w:b/>
          <w:lang w:eastAsia="en-US"/>
        </w:rPr>
        <w:t xml:space="preserve">H </w:t>
      </w:r>
      <w:r>
        <w:rPr>
          <w:lang w:eastAsia="en-US"/>
        </w:rPr>
        <w:t>épület, építmény egészére és részeire terjed ki.”</w:t>
      </w:r>
      <w:bookmarkEnd w:id="7"/>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12. §</w:t>
      </w:r>
    </w:p>
    <w:p w:rsidR="008A2921" w:rsidRDefault="008A2921" w:rsidP="0070395A">
      <w:pPr>
        <w:jc w:val="both"/>
        <w:rPr>
          <w:lang w:eastAsia="en-US"/>
        </w:rPr>
      </w:pPr>
    </w:p>
    <w:p w:rsidR="008A2921" w:rsidRDefault="008A2921" w:rsidP="0070395A">
      <w:pPr>
        <w:jc w:val="both"/>
        <w:rPr>
          <w:lang w:eastAsia="en-US"/>
        </w:rPr>
      </w:pPr>
      <w:r>
        <w:rPr>
          <w:lang w:eastAsia="en-US"/>
        </w:rPr>
        <w:t>A Rendelet 33. § (5) bekezdése helyébe az alábbi rendelkezés lép:</w:t>
      </w:r>
    </w:p>
    <w:p w:rsidR="008A2921" w:rsidRDefault="008A2921" w:rsidP="0070395A">
      <w:pPr>
        <w:jc w:val="both"/>
        <w:rPr>
          <w:lang w:eastAsia="en-US"/>
        </w:rPr>
      </w:pPr>
      <w:r>
        <w:rPr>
          <w:lang w:eastAsia="en-US"/>
        </w:rPr>
        <w:t xml:space="preserve">„(5) </w:t>
      </w:r>
      <w:bookmarkStart w:id="8" w:name="_Hlk487015067"/>
      <w:r w:rsidR="00F6075F">
        <w:rPr>
          <w:lang w:eastAsia="en-US"/>
        </w:rPr>
        <w:t>Az építmények közötti legkisebb távolság szabályozása az OTÉK épületek közötti legkisebb távolságra vonatkozó szabályai szerint történik</w:t>
      </w:r>
      <w:bookmarkEnd w:id="8"/>
      <w:r w:rsidR="00F6075F">
        <w:rPr>
          <w:lang w:eastAsia="en-US"/>
        </w:rPr>
        <w: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13. §</w:t>
      </w:r>
    </w:p>
    <w:p w:rsidR="00F6075F" w:rsidRDefault="00F6075F" w:rsidP="0070395A">
      <w:pPr>
        <w:jc w:val="both"/>
        <w:rPr>
          <w:lang w:eastAsia="en-US"/>
        </w:rPr>
      </w:pPr>
    </w:p>
    <w:p w:rsidR="00F6075F" w:rsidRDefault="00E20213" w:rsidP="0070395A">
      <w:pPr>
        <w:jc w:val="both"/>
        <w:rPr>
          <w:lang w:eastAsia="en-US"/>
        </w:rPr>
      </w:pPr>
      <w:r>
        <w:rPr>
          <w:lang w:eastAsia="en-US"/>
        </w:rPr>
        <w:t>A Rendelet 34. §-a helyébe az alábbi rendelkezés lép:</w:t>
      </w:r>
    </w:p>
    <w:p w:rsidR="00E20213" w:rsidRDefault="00E20213" w:rsidP="0070395A">
      <w:pPr>
        <w:jc w:val="both"/>
        <w:rPr>
          <w:lang w:eastAsia="en-US"/>
        </w:rPr>
      </w:pPr>
      <w:r>
        <w:rPr>
          <w:lang w:eastAsia="en-US"/>
        </w:rPr>
        <w:t>„</w:t>
      </w:r>
      <w:bookmarkStart w:id="9" w:name="_Hlk487015211"/>
      <w:r>
        <w:rPr>
          <w:lang w:eastAsia="en-US"/>
        </w:rPr>
        <w:t xml:space="preserve">Az építésjogi következményekre az épített környezet alakításáról és védelméről szóló 1997. évi </w:t>
      </w:r>
      <w:r w:rsidR="00EF4482">
        <w:rPr>
          <w:lang w:eastAsia="en-US"/>
        </w:rPr>
        <w:t>LXXVIII. törvénynek az építésjogi követelményekre vonatkozó szabályai alkalmazandók</w:t>
      </w:r>
      <w:bookmarkEnd w:id="9"/>
      <w:r w:rsidR="00EF4482">
        <w:rPr>
          <w:lang w:eastAsia="en-US"/>
        </w:rPr>
        <w:t>.”</w:t>
      </w:r>
    </w:p>
    <w:p w:rsidR="00FF1A20" w:rsidRDefault="00FF1A20" w:rsidP="0070395A">
      <w:pPr>
        <w:jc w:val="both"/>
        <w:rPr>
          <w:lang w:eastAsia="en-US"/>
        </w:rPr>
      </w:pPr>
    </w:p>
    <w:p w:rsidR="00FF1A20" w:rsidRPr="00FF1A20" w:rsidRDefault="00FF1A20" w:rsidP="00FF1A20">
      <w:pPr>
        <w:jc w:val="center"/>
        <w:rPr>
          <w:b/>
          <w:lang w:eastAsia="en-US"/>
        </w:rPr>
      </w:pPr>
      <w:r>
        <w:rPr>
          <w:b/>
          <w:lang w:eastAsia="en-US"/>
        </w:rPr>
        <w:t>14. §</w:t>
      </w:r>
    </w:p>
    <w:p w:rsidR="00472B2F" w:rsidRDefault="00472B2F" w:rsidP="005251F3">
      <w:pPr>
        <w:pStyle w:val="Szvegtrzs21"/>
        <w:tabs>
          <w:tab w:val="left" w:pos="360"/>
        </w:tabs>
        <w:ind w:left="0"/>
        <w:rPr>
          <w:rFonts w:eastAsiaTheme="minorHAnsi"/>
          <w:szCs w:val="24"/>
        </w:rPr>
      </w:pPr>
    </w:p>
    <w:p w:rsidR="00EF4482" w:rsidRDefault="005251F3" w:rsidP="005251F3">
      <w:pPr>
        <w:pStyle w:val="Szvegtrzs21"/>
        <w:tabs>
          <w:tab w:val="left" w:pos="360"/>
        </w:tabs>
        <w:ind w:left="0"/>
      </w:pPr>
      <w:r>
        <w:t xml:space="preserve">A Rendelet </w:t>
      </w:r>
      <w:r w:rsidR="00EF4482">
        <w:t>e rendelet 1.-4. számú melléklete szerinti 2., 3., 4. és 5. számú melléklettel egészül ki.</w:t>
      </w:r>
    </w:p>
    <w:p w:rsidR="00FF1A20" w:rsidRDefault="00FF1A20" w:rsidP="005251F3">
      <w:pPr>
        <w:pStyle w:val="Szvegtrzs21"/>
        <w:tabs>
          <w:tab w:val="left" w:pos="360"/>
        </w:tabs>
        <w:ind w:left="0"/>
      </w:pPr>
    </w:p>
    <w:p w:rsidR="00FF1A20" w:rsidRPr="00FF1A20" w:rsidRDefault="00FF1A20" w:rsidP="00FF1A20">
      <w:pPr>
        <w:pStyle w:val="Szvegtrzs21"/>
        <w:tabs>
          <w:tab w:val="left" w:pos="360"/>
        </w:tabs>
        <w:ind w:left="0"/>
        <w:jc w:val="center"/>
        <w:rPr>
          <w:b/>
        </w:rPr>
      </w:pPr>
      <w:r>
        <w:rPr>
          <w:b/>
        </w:rPr>
        <w:t>15. §</w:t>
      </w:r>
    </w:p>
    <w:p w:rsidR="005251F3" w:rsidRDefault="005251F3" w:rsidP="005251F3">
      <w:pPr>
        <w:rPr>
          <w:lang w:eastAsia="en-US"/>
        </w:rPr>
      </w:pPr>
    </w:p>
    <w:p w:rsidR="005251F3" w:rsidRDefault="005251F3" w:rsidP="005251F3">
      <w:pPr>
        <w:ind w:left="360" w:hanging="360"/>
        <w:jc w:val="both"/>
      </w:pPr>
      <w:r w:rsidRPr="007C179C">
        <w:t>E rendelet a kihirdetését követő napon lép hatályba, és az azt követő napon hatályát veszti.</w:t>
      </w:r>
    </w:p>
    <w:p w:rsidR="00FF1A20" w:rsidRPr="007C179C" w:rsidRDefault="00FF1A20" w:rsidP="005251F3">
      <w:pPr>
        <w:ind w:left="360" w:hanging="360"/>
        <w:jc w:val="both"/>
      </w:pPr>
    </w:p>
    <w:p w:rsidR="005251F3" w:rsidRPr="007C179C" w:rsidRDefault="005251F3" w:rsidP="005251F3"/>
    <w:p w:rsidR="00032BAD" w:rsidRDefault="005251F3" w:rsidP="005251F3">
      <w:r>
        <w:t xml:space="preserve">Kelt, </w:t>
      </w:r>
      <w:r w:rsidR="00D07C52">
        <w:t>Rábgyarmat</w:t>
      </w:r>
      <w:r w:rsidR="00EF4482">
        <w:t>, 2017</w:t>
      </w:r>
      <w:r>
        <w:t>.</w:t>
      </w:r>
      <w:r w:rsidR="00032BAD">
        <w:t xml:space="preserve"> május 31.</w:t>
      </w:r>
    </w:p>
    <w:p w:rsidR="00032BAD" w:rsidRDefault="00032BAD" w:rsidP="005251F3"/>
    <w:p w:rsidR="00032BAD" w:rsidRDefault="00032BAD" w:rsidP="005251F3"/>
    <w:p w:rsidR="00032BAD" w:rsidRDefault="00032BAD" w:rsidP="005251F3"/>
    <w:p w:rsidR="005251F3" w:rsidRPr="00ED6BB0" w:rsidRDefault="005251F3" w:rsidP="005251F3">
      <w:r>
        <w:t xml:space="preserve"> </w:t>
      </w:r>
    </w:p>
    <w:p w:rsidR="005251F3" w:rsidRPr="00ED6BB0" w:rsidRDefault="005251F3" w:rsidP="005251F3"/>
    <w:p w:rsidR="005251F3" w:rsidRDefault="005251F3" w:rsidP="005251F3">
      <w:r>
        <w:tab/>
      </w:r>
      <w:r w:rsidR="00472B2F">
        <w:tab/>
      </w:r>
      <w:r w:rsidR="00D07C52">
        <w:t>Háklár Gyula</w:t>
      </w:r>
      <w:r w:rsidR="00472B2F">
        <w:tab/>
      </w:r>
      <w:r w:rsidR="00472B2F">
        <w:tab/>
      </w:r>
      <w:r w:rsidR="00472B2F">
        <w:tab/>
      </w:r>
      <w:r>
        <w:tab/>
        <w:t>dr.Kelemen Marcell</w:t>
      </w:r>
    </w:p>
    <w:p w:rsidR="005251F3" w:rsidRPr="00ED6BB0" w:rsidRDefault="005251F3" w:rsidP="005251F3">
      <w:r>
        <w:tab/>
        <w:t xml:space="preserve">            polgármester</w:t>
      </w:r>
      <w:r>
        <w:tab/>
      </w:r>
      <w:r>
        <w:tab/>
      </w:r>
      <w:r>
        <w:tab/>
      </w:r>
      <w:r>
        <w:tab/>
        <w:t xml:space="preserve">         jegyző</w:t>
      </w:r>
    </w:p>
    <w:p w:rsidR="005251F3" w:rsidRDefault="005251F3" w:rsidP="005251F3">
      <w:pPr>
        <w:rPr>
          <w:lang w:eastAsia="en-US"/>
        </w:rPr>
      </w:pPr>
    </w:p>
    <w:p w:rsidR="005251F3" w:rsidRDefault="005251F3" w:rsidP="005251F3">
      <w:pPr>
        <w:rPr>
          <w:lang w:eastAsia="en-US"/>
        </w:rPr>
      </w:pPr>
    </w:p>
    <w:p w:rsidR="005251F3" w:rsidRDefault="005251F3" w:rsidP="005251F3">
      <w:pPr>
        <w:rPr>
          <w:lang w:eastAsia="en-US"/>
        </w:rPr>
      </w:pPr>
    </w:p>
    <w:p w:rsidR="005251F3" w:rsidRDefault="005251F3"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CC65EA" w:rsidRPr="009D2FC1" w:rsidRDefault="00CC65EA" w:rsidP="00CC65EA">
      <w:pPr>
        <w:jc w:val="both"/>
      </w:pPr>
      <w:r w:rsidRPr="009D2FC1">
        <w:t xml:space="preserve">A rendelet kihirdetve: 2017. </w:t>
      </w:r>
      <w:r>
        <w:t>június 1</w:t>
      </w:r>
      <w:r w:rsidRPr="009D2FC1">
        <w:t>. napjával.</w:t>
      </w:r>
    </w:p>
    <w:p w:rsidR="00CC65EA" w:rsidRPr="009D2FC1" w:rsidRDefault="00CC65EA" w:rsidP="00CC65EA">
      <w:pPr>
        <w:jc w:val="both"/>
      </w:pPr>
    </w:p>
    <w:p w:rsidR="00CC65EA" w:rsidRPr="009D2FC1" w:rsidRDefault="00CC65EA" w:rsidP="00CC65EA">
      <w:pPr>
        <w:jc w:val="both"/>
      </w:pPr>
      <w:r w:rsidRPr="009D2FC1">
        <w:tab/>
      </w:r>
    </w:p>
    <w:p w:rsidR="00CC65EA" w:rsidRPr="009D2FC1" w:rsidRDefault="00CC65EA" w:rsidP="00CC65EA">
      <w:pPr>
        <w:jc w:val="both"/>
      </w:pPr>
      <w:r w:rsidRPr="009D2FC1">
        <w:tab/>
      </w:r>
      <w:r w:rsidRPr="009D2FC1">
        <w:tab/>
      </w:r>
      <w:r w:rsidRPr="009D2FC1">
        <w:tab/>
      </w:r>
      <w:r w:rsidRPr="009D2FC1">
        <w:tab/>
      </w:r>
      <w:r w:rsidRPr="009D2FC1">
        <w:tab/>
      </w:r>
      <w:r w:rsidRPr="009D2FC1">
        <w:tab/>
      </w:r>
      <w:r w:rsidRPr="009D2FC1">
        <w:tab/>
      </w:r>
      <w:r w:rsidRPr="009D2FC1">
        <w:tab/>
      </w:r>
      <w:r>
        <w:tab/>
      </w:r>
      <w:r w:rsidRPr="009D2FC1">
        <w:t>dr. Kelemen Marcell</w:t>
      </w:r>
    </w:p>
    <w:p w:rsidR="00472B2F" w:rsidRDefault="00CC65EA" w:rsidP="00CC65EA">
      <w:pPr>
        <w:rPr>
          <w:lang w:eastAsia="en-US"/>
        </w:rPr>
      </w:pPr>
      <w:r w:rsidRPr="009D2FC1">
        <w:tab/>
      </w:r>
      <w:r w:rsidRPr="009D2FC1">
        <w:tab/>
      </w:r>
      <w:r w:rsidRPr="009D2FC1">
        <w:tab/>
      </w:r>
      <w:r w:rsidRPr="009D2FC1">
        <w:tab/>
      </w:r>
      <w:r w:rsidRPr="009D2FC1">
        <w:tab/>
      </w:r>
      <w:r w:rsidRPr="009D2FC1">
        <w:tab/>
      </w:r>
      <w:r w:rsidRPr="009D2FC1">
        <w:tab/>
      </w:r>
      <w:r w:rsidRPr="009D2FC1">
        <w:tab/>
      </w:r>
      <w:r w:rsidRPr="009D2FC1">
        <w:tab/>
        <w:t xml:space="preserve"> jegyző</w:t>
      </w:r>
      <w:r w:rsidRPr="009D2FC1">
        <w:tab/>
      </w:r>
      <w:r w:rsidRPr="009D2FC1">
        <w:tab/>
      </w:r>
      <w:r w:rsidRPr="009D2FC1">
        <w:tab/>
      </w: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472B2F" w:rsidRDefault="00472B2F" w:rsidP="005251F3">
      <w:pPr>
        <w:rPr>
          <w:lang w:eastAsia="en-US"/>
        </w:rPr>
      </w:pPr>
    </w:p>
    <w:p w:rsidR="005251F3" w:rsidRDefault="005251F3" w:rsidP="005251F3">
      <w:pPr>
        <w:rPr>
          <w:lang w:eastAsia="en-US"/>
        </w:rPr>
      </w:pPr>
    </w:p>
    <w:p w:rsidR="005251F3" w:rsidRDefault="005251F3" w:rsidP="005251F3">
      <w:pPr>
        <w:rPr>
          <w:lang w:eastAsia="en-US"/>
        </w:rPr>
      </w:pPr>
    </w:p>
    <w:p w:rsidR="005251F3" w:rsidRDefault="005251F3" w:rsidP="005251F3">
      <w:pPr>
        <w:rPr>
          <w:lang w:eastAsia="en-US"/>
        </w:rPr>
      </w:pPr>
    </w:p>
    <w:p w:rsidR="005251F3" w:rsidRDefault="005251F3" w:rsidP="005251F3">
      <w:pPr>
        <w:rPr>
          <w:lang w:eastAsia="en-US"/>
        </w:rPr>
      </w:pPr>
    </w:p>
    <w:p w:rsidR="005251F3" w:rsidRDefault="005251F3" w:rsidP="005251F3">
      <w:pPr>
        <w:rPr>
          <w:lang w:eastAsia="en-US"/>
        </w:rPr>
      </w:pPr>
    </w:p>
    <w:p w:rsidR="003F3966" w:rsidRDefault="003F3966" w:rsidP="005251F3">
      <w:pPr>
        <w:rPr>
          <w:lang w:eastAsia="en-US"/>
        </w:rPr>
      </w:pPr>
    </w:p>
    <w:p w:rsidR="003F3966" w:rsidRDefault="003F3966" w:rsidP="005251F3">
      <w:pPr>
        <w:rPr>
          <w:lang w:eastAsia="en-US"/>
        </w:rPr>
      </w:pPr>
    </w:p>
    <w:p w:rsidR="003F3966" w:rsidRDefault="003F3966" w:rsidP="005251F3">
      <w:pPr>
        <w:rPr>
          <w:lang w:eastAsia="en-US"/>
        </w:rPr>
      </w:pPr>
    </w:p>
    <w:p w:rsidR="003F3966" w:rsidRDefault="003F3966" w:rsidP="005251F3">
      <w:pPr>
        <w:rPr>
          <w:lang w:eastAsia="en-US"/>
        </w:rPr>
      </w:pPr>
    </w:p>
    <w:p w:rsidR="003F3966" w:rsidRDefault="003F3966" w:rsidP="005251F3">
      <w:pPr>
        <w:rPr>
          <w:lang w:eastAsia="en-US"/>
        </w:rPr>
      </w:pPr>
    </w:p>
    <w:p w:rsidR="003F3966" w:rsidRDefault="003F3966" w:rsidP="005251F3">
      <w:pPr>
        <w:rPr>
          <w:lang w:eastAsia="en-US"/>
        </w:rPr>
      </w:pPr>
    </w:p>
    <w:p w:rsidR="005251F3" w:rsidRPr="00032BAD" w:rsidRDefault="003F3966" w:rsidP="005251F3">
      <w:pPr>
        <w:rPr>
          <w:lang w:eastAsia="en-US"/>
        </w:rPr>
      </w:pPr>
      <w:r w:rsidRPr="00032BAD">
        <w:rPr>
          <w:i/>
          <w:lang w:eastAsia="en-US"/>
        </w:rPr>
        <w:t xml:space="preserve">1. számú melléklet a </w:t>
      </w:r>
      <w:r w:rsidR="00032BAD" w:rsidRPr="00032BAD">
        <w:rPr>
          <w:i/>
          <w:lang w:eastAsia="en-US"/>
        </w:rPr>
        <w:t>4</w:t>
      </w:r>
      <w:r w:rsidRPr="00032BAD">
        <w:rPr>
          <w:i/>
          <w:lang w:eastAsia="en-US"/>
        </w:rPr>
        <w:t xml:space="preserve"> /2017</w:t>
      </w:r>
      <w:r w:rsidR="005251F3" w:rsidRPr="00032BAD">
        <w:rPr>
          <w:i/>
          <w:lang w:eastAsia="en-US"/>
        </w:rPr>
        <w:t>. (</w:t>
      </w:r>
      <w:r w:rsidR="00032BAD" w:rsidRPr="00032BAD">
        <w:rPr>
          <w:i/>
          <w:lang w:eastAsia="en-US"/>
        </w:rPr>
        <w:t>VI.01.</w:t>
      </w:r>
      <w:r w:rsidR="005251F3" w:rsidRPr="00032BAD">
        <w:rPr>
          <w:i/>
          <w:lang w:eastAsia="en-US"/>
        </w:rPr>
        <w:t>) számú önkormányzati rendelethez</w:t>
      </w:r>
    </w:p>
    <w:p w:rsidR="005251F3" w:rsidRPr="00032BAD" w:rsidRDefault="005251F3" w:rsidP="005251F3">
      <w:pPr>
        <w:rPr>
          <w:lang w:eastAsia="en-US"/>
        </w:rPr>
      </w:pPr>
    </w:p>
    <w:p w:rsidR="00D07C52" w:rsidRPr="00032BAD" w:rsidRDefault="00D07C52" w:rsidP="00D07C52">
      <w:pPr>
        <w:jc w:val="both"/>
      </w:pPr>
      <w:r w:rsidRPr="00032BAD">
        <w:t>A falusias lakóterület építési övezeteiben a kialakult beépítés figyelembevételével az alábbi telekalakítási és beépítési előírásokat kell alkalmazni:</w:t>
      </w:r>
    </w:p>
    <w:p w:rsidR="00D07C52" w:rsidRPr="00032BAD" w:rsidRDefault="00D07C52" w:rsidP="00D07C52">
      <w:pPr>
        <w:jc w:val="both"/>
      </w:pPr>
    </w:p>
    <w:tbl>
      <w:tblPr>
        <w:tblW w:w="83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672"/>
      </w:tblGrid>
      <w:tr w:rsidR="00D07C52" w:rsidRPr="00032BAD" w:rsidTr="007D1980">
        <w:trPr>
          <w:trHeight w:val="345"/>
        </w:trPr>
        <w:tc>
          <w:tcPr>
            <w:tcW w:w="8336" w:type="dxa"/>
            <w:gridSpan w:val="2"/>
            <w:vAlign w:val="center"/>
          </w:tcPr>
          <w:p w:rsidR="00D07C52" w:rsidRPr="00032BAD" w:rsidRDefault="00D07C52" w:rsidP="007D1980">
            <w:r w:rsidRPr="00032BAD">
              <w:rPr>
                <w:b/>
              </w:rPr>
              <w:t>Lf-1. jelű építési övezet</w:t>
            </w:r>
          </w:p>
        </w:tc>
      </w:tr>
      <w:tr w:rsidR="00D07C52" w:rsidRPr="00032BAD" w:rsidTr="007D1980">
        <w:trPr>
          <w:trHeight w:val="300"/>
        </w:trPr>
        <w:tc>
          <w:tcPr>
            <w:tcW w:w="4664" w:type="dxa"/>
            <w:vAlign w:val="center"/>
          </w:tcPr>
          <w:p w:rsidR="00D07C52" w:rsidRPr="00032BAD" w:rsidRDefault="00D07C52" w:rsidP="007D1980">
            <w:r w:rsidRPr="00032BAD">
              <w:t>Beépítési mód</w:t>
            </w:r>
          </w:p>
        </w:tc>
        <w:tc>
          <w:tcPr>
            <w:tcW w:w="3672" w:type="dxa"/>
            <w:vAlign w:val="center"/>
          </w:tcPr>
          <w:p w:rsidR="00D07C52" w:rsidRPr="00032BAD" w:rsidRDefault="00D07C52" w:rsidP="007D1980">
            <w:r w:rsidRPr="00032BAD">
              <w:t>K - oldalhatáron álló</w:t>
            </w:r>
          </w:p>
        </w:tc>
      </w:tr>
      <w:tr w:rsidR="00D07C52" w:rsidRPr="00032BAD" w:rsidTr="007D1980">
        <w:trPr>
          <w:trHeight w:val="300"/>
        </w:trPr>
        <w:tc>
          <w:tcPr>
            <w:tcW w:w="4664" w:type="dxa"/>
            <w:vAlign w:val="center"/>
          </w:tcPr>
          <w:p w:rsidR="00D07C52" w:rsidRPr="00032BAD" w:rsidRDefault="00D07C52" w:rsidP="007D1980">
            <w:r w:rsidRPr="00032BAD">
              <w:t>Kialakítható, beépíthető telek területe</w:t>
            </w:r>
          </w:p>
        </w:tc>
        <w:tc>
          <w:tcPr>
            <w:tcW w:w="3672" w:type="dxa"/>
            <w:vAlign w:val="center"/>
          </w:tcPr>
          <w:p w:rsidR="00D07C52" w:rsidRPr="00032BAD" w:rsidRDefault="00D07C52" w:rsidP="007D1980">
            <w:pPr>
              <w:rPr>
                <w:vertAlign w:val="superscript"/>
              </w:rPr>
            </w:pPr>
            <w:r w:rsidRPr="00032BAD">
              <w:t xml:space="preserve">min. </w:t>
            </w:r>
            <w:smartTag w:uri="urn:schemas-microsoft-com:office:smarttags" w:element="metricconverter">
              <w:smartTagPr>
                <w:attr w:name="ProductID" w:val="1200 m2"/>
              </w:smartTagPr>
              <w:r w:rsidRPr="00032BAD">
                <w:t>1200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Kialakítható, beépíthető telek szélessége</w:t>
            </w:r>
          </w:p>
        </w:tc>
        <w:tc>
          <w:tcPr>
            <w:tcW w:w="3672" w:type="dxa"/>
            <w:vAlign w:val="center"/>
          </w:tcPr>
          <w:p w:rsidR="00D07C52" w:rsidRPr="00032BAD" w:rsidRDefault="00D07C52" w:rsidP="007D1980">
            <w:r w:rsidRPr="00032BAD">
              <w:t xml:space="preserve">min. </w:t>
            </w:r>
            <w:smartTag w:uri="urn:schemas-microsoft-com:office:smarttags" w:element="metricconverter">
              <w:smartTagPr>
                <w:attr w:name="ProductID" w:val="16 m"/>
              </w:smartTagPr>
              <w:r w:rsidRPr="00032BAD">
                <w:t>16 m</w:t>
              </w:r>
            </w:smartTag>
            <w:r w:rsidRPr="00032BAD">
              <w:t xml:space="preserve"> a telek homlokvonalán</w:t>
            </w:r>
          </w:p>
        </w:tc>
      </w:tr>
      <w:tr w:rsidR="00D07C52" w:rsidRPr="00032BAD" w:rsidTr="007D1980">
        <w:trPr>
          <w:trHeight w:val="300"/>
        </w:trPr>
        <w:tc>
          <w:tcPr>
            <w:tcW w:w="4664" w:type="dxa"/>
            <w:vAlign w:val="center"/>
          </w:tcPr>
          <w:p w:rsidR="00D07C52" w:rsidRPr="00032BAD" w:rsidRDefault="00D07C52" w:rsidP="007D1980">
            <w:r w:rsidRPr="00032BAD">
              <w:t>Megengedett legnagyobb beépítettség</w:t>
            </w:r>
          </w:p>
        </w:tc>
        <w:tc>
          <w:tcPr>
            <w:tcW w:w="3672" w:type="dxa"/>
            <w:vAlign w:val="center"/>
          </w:tcPr>
          <w:p w:rsidR="00D07C52" w:rsidRPr="00032BAD" w:rsidRDefault="00D07C52" w:rsidP="007D1980">
            <w:r w:rsidRPr="00032BAD">
              <w:t xml:space="preserve">K – 20 %, de maximum: </w:t>
            </w:r>
            <w:smartTag w:uri="urn:schemas-microsoft-com:office:smarttags" w:element="metricconverter">
              <w:smartTagPr>
                <w:attr w:name="ProductID" w:val="500 m2"/>
              </w:smartTagPr>
              <w:r w:rsidRPr="00032BAD">
                <w:t>500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 xml:space="preserve">Megengedett legnagyobb terepszint alatti beépítettség </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Megengedett legkisebb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3,0 m"/>
              </w:smartTagPr>
              <w:r w:rsidRPr="00032BAD">
                <w:t>3,0 m</w:t>
              </w:r>
            </w:smartTag>
          </w:p>
        </w:tc>
      </w:tr>
      <w:tr w:rsidR="00D07C52" w:rsidRPr="00032BAD" w:rsidTr="007D1980">
        <w:trPr>
          <w:trHeight w:val="300"/>
        </w:trPr>
        <w:tc>
          <w:tcPr>
            <w:tcW w:w="4664" w:type="dxa"/>
            <w:vAlign w:val="center"/>
          </w:tcPr>
          <w:p w:rsidR="00D07C52" w:rsidRPr="00032BAD" w:rsidRDefault="00D07C52" w:rsidP="007D1980">
            <w:r w:rsidRPr="00032BAD">
              <w:t>Megengedett legnagyobb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4,5 m"/>
              </w:smartTagPr>
              <w:r w:rsidRPr="00032BAD">
                <w:t>4,5 m</w:t>
              </w:r>
            </w:smartTag>
          </w:p>
        </w:tc>
      </w:tr>
      <w:tr w:rsidR="00D07C52" w:rsidRPr="00032BAD" w:rsidTr="007D1980">
        <w:trPr>
          <w:trHeight w:val="300"/>
        </w:trPr>
        <w:tc>
          <w:tcPr>
            <w:tcW w:w="4664" w:type="dxa"/>
            <w:vAlign w:val="center"/>
          </w:tcPr>
          <w:p w:rsidR="00D07C52" w:rsidRPr="00032BAD" w:rsidRDefault="00D07C52" w:rsidP="007D1980">
            <w:r w:rsidRPr="00032BAD">
              <w:t>Megengedett legkisebb zöldfelület</w:t>
            </w:r>
          </w:p>
        </w:tc>
        <w:tc>
          <w:tcPr>
            <w:tcW w:w="3672" w:type="dxa"/>
            <w:vAlign w:val="center"/>
          </w:tcPr>
          <w:p w:rsidR="00D07C52" w:rsidRPr="00032BAD" w:rsidRDefault="00D07C52" w:rsidP="007D1980">
            <w:r w:rsidRPr="00032BAD">
              <w:t>40 %</w:t>
            </w:r>
          </w:p>
        </w:tc>
      </w:tr>
    </w:tbl>
    <w:p w:rsidR="00D07C52" w:rsidRPr="00032BAD" w:rsidRDefault="00D07C52" w:rsidP="00D07C52">
      <w:pPr>
        <w:jc w:val="both"/>
      </w:pPr>
    </w:p>
    <w:tbl>
      <w:tblPr>
        <w:tblW w:w="83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672"/>
      </w:tblGrid>
      <w:tr w:rsidR="00D07C52" w:rsidRPr="00032BAD" w:rsidTr="007D1980">
        <w:trPr>
          <w:trHeight w:val="345"/>
        </w:trPr>
        <w:tc>
          <w:tcPr>
            <w:tcW w:w="8336" w:type="dxa"/>
            <w:gridSpan w:val="2"/>
            <w:vAlign w:val="center"/>
          </w:tcPr>
          <w:p w:rsidR="00D07C52" w:rsidRPr="00032BAD" w:rsidRDefault="00D07C52" w:rsidP="007D1980">
            <w:r w:rsidRPr="00032BAD">
              <w:rPr>
                <w:b/>
              </w:rPr>
              <w:t>Lf-2. jelű építési övezet</w:t>
            </w:r>
          </w:p>
        </w:tc>
      </w:tr>
      <w:tr w:rsidR="00D07C52" w:rsidRPr="00032BAD" w:rsidTr="007D1980">
        <w:trPr>
          <w:trHeight w:val="300"/>
        </w:trPr>
        <w:tc>
          <w:tcPr>
            <w:tcW w:w="4664" w:type="dxa"/>
            <w:vAlign w:val="center"/>
          </w:tcPr>
          <w:p w:rsidR="00D07C52" w:rsidRPr="00032BAD" w:rsidRDefault="00D07C52" w:rsidP="007D1980">
            <w:r w:rsidRPr="00032BAD">
              <w:t>Beépítési mód</w:t>
            </w:r>
          </w:p>
        </w:tc>
        <w:tc>
          <w:tcPr>
            <w:tcW w:w="3672" w:type="dxa"/>
            <w:vAlign w:val="center"/>
          </w:tcPr>
          <w:p w:rsidR="00D07C52" w:rsidRPr="00032BAD" w:rsidRDefault="00D07C52" w:rsidP="007D1980">
            <w:r w:rsidRPr="00032BAD">
              <w:t>K - oldalhatáron álló</w:t>
            </w:r>
          </w:p>
        </w:tc>
      </w:tr>
      <w:tr w:rsidR="00D07C52" w:rsidRPr="00032BAD" w:rsidTr="007D1980">
        <w:trPr>
          <w:trHeight w:val="300"/>
        </w:trPr>
        <w:tc>
          <w:tcPr>
            <w:tcW w:w="4664" w:type="dxa"/>
            <w:vAlign w:val="center"/>
          </w:tcPr>
          <w:p w:rsidR="00D07C52" w:rsidRPr="00032BAD" w:rsidRDefault="00D07C52" w:rsidP="007D1980">
            <w:r w:rsidRPr="00032BAD">
              <w:t>Kialakítható, beépíthető telek területe</w:t>
            </w:r>
          </w:p>
        </w:tc>
        <w:tc>
          <w:tcPr>
            <w:tcW w:w="3672" w:type="dxa"/>
            <w:vAlign w:val="center"/>
          </w:tcPr>
          <w:p w:rsidR="00D07C52" w:rsidRPr="00032BAD" w:rsidRDefault="00D07C52" w:rsidP="007D1980">
            <w:pPr>
              <w:rPr>
                <w:vertAlign w:val="superscript"/>
              </w:rPr>
            </w:pPr>
            <w:r w:rsidRPr="00032BAD">
              <w:t xml:space="preserve">min. </w:t>
            </w:r>
            <w:smartTag w:uri="urn:schemas-microsoft-com:office:smarttags" w:element="metricconverter">
              <w:smartTagPr>
                <w:attr w:name="ProductID" w:val="800 m2"/>
              </w:smartTagPr>
              <w:r w:rsidRPr="00032BAD">
                <w:t>800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Kialakítható, beépíthető telek szélessége</w:t>
            </w:r>
          </w:p>
        </w:tc>
        <w:tc>
          <w:tcPr>
            <w:tcW w:w="3672" w:type="dxa"/>
            <w:vAlign w:val="center"/>
          </w:tcPr>
          <w:p w:rsidR="00D07C52" w:rsidRPr="00032BAD" w:rsidRDefault="00D07C52" w:rsidP="007D1980">
            <w:r w:rsidRPr="00032BAD">
              <w:t xml:space="preserve">min. </w:t>
            </w:r>
            <w:smartTag w:uri="urn:schemas-microsoft-com:office:smarttags" w:element="metricconverter">
              <w:smartTagPr>
                <w:attr w:name="ProductID" w:val="18 m"/>
              </w:smartTagPr>
              <w:r w:rsidRPr="00032BAD">
                <w:t>18 m</w:t>
              </w:r>
            </w:smartTag>
            <w:r w:rsidRPr="00032BAD">
              <w:t xml:space="preserve"> a telek homlokvonalán</w:t>
            </w:r>
          </w:p>
        </w:tc>
      </w:tr>
      <w:tr w:rsidR="00D07C52" w:rsidRPr="00032BAD" w:rsidTr="007D1980">
        <w:trPr>
          <w:trHeight w:val="300"/>
        </w:trPr>
        <w:tc>
          <w:tcPr>
            <w:tcW w:w="4664" w:type="dxa"/>
            <w:vAlign w:val="center"/>
          </w:tcPr>
          <w:p w:rsidR="00D07C52" w:rsidRPr="00032BAD" w:rsidRDefault="00D07C52" w:rsidP="007D1980">
            <w:r w:rsidRPr="00032BAD">
              <w:t>Megengedett legnagyobb beépítettség</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 xml:space="preserve">Megengedett legnagyobb terepszint alatti beépítettség </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Megengedett legkisebb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3,0 m"/>
              </w:smartTagPr>
              <w:r w:rsidRPr="00032BAD">
                <w:t>3,0 m</w:t>
              </w:r>
            </w:smartTag>
          </w:p>
        </w:tc>
      </w:tr>
      <w:tr w:rsidR="00D07C52" w:rsidRPr="00032BAD" w:rsidTr="007D1980">
        <w:trPr>
          <w:trHeight w:val="300"/>
        </w:trPr>
        <w:tc>
          <w:tcPr>
            <w:tcW w:w="4664" w:type="dxa"/>
            <w:vAlign w:val="center"/>
          </w:tcPr>
          <w:p w:rsidR="00D07C52" w:rsidRPr="00032BAD" w:rsidRDefault="00D07C52" w:rsidP="007D1980">
            <w:r w:rsidRPr="00032BAD">
              <w:t>Megengedett legnagyobb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4,5 m"/>
              </w:smartTagPr>
              <w:r w:rsidRPr="00032BAD">
                <w:t>4,5 m</w:t>
              </w:r>
            </w:smartTag>
          </w:p>
        </w:tc>
      </w:tr>
      <w:tr w:rsidR="00D07C52" w:rsidRPr="00032BAD" w:rsidTr="007D1980">
        <w:trPr>
          <w:trHeight w:val="300"/>
        </w:trPr>
        <w:tc>
          <w:tcPr>
            <w:tcW w:w="4664" w:type="dxa"/>
            <w:vAlign w:val="center"/>
          </w:tcPr>
          <w:p w:rsidR="00D07C52" w:rsidRPr="00032BAD" w:rsidRDefault="00D07C52" w:rsidP="007D1980">
            <w:r w:rsidRPr="00032BAD">
              <w:t>Megengedett legkisebb zöldfelület</w:t>
            </w:r>
          </w:p>
        </w:tc>
        <w:tc>
          <w:tcPr>
            <w:tcW w:w="3672" w:type="dxa"/>
            <w:vAlign w:val="center"/>
          </w:tcPr>
          <w:p w:rsidR="00D07C52" w:rsidRPr="00032BAD" w:rsidRDefault="00D07C52" w:rsidP="007D1980">
            <w:r w:rsidRPr="00032BAD">
              <w:t>40 %</w:t>
            </w:r>
          </w:p>
        </w:tc>
      </w:tr>
      <w:tr w:rsidR="00D07C52" w:rsidRPr="00032BAD" w:rsidTr="007D1980">
        <w:trPr>
          <w:trHeight w:val="300"/>
        </w:trPr>
        <w:tc>
          <w:tcPr>
            <w:tcW w:w="8336" w:type="dxa"/>
            <w:gridSpan w:val="2"/>
            <w:vAlign w:val="center"/>
          </w:tcPr>
          <w:p w:rsidR="00D07C52" w:rsidRPr="00032BAD" w:rsidRDefault="00D07C52" w:rsidP="007D1980">
            <w:r w:rsidRPr="00032BAD">
              <w:rPr>
                <w:b/>
              </w:rPr>
              <w:t>Lf2* jelű építési övezetben</w:t>
            </w:r>
            <w:r w:rsidRPr="00032BAD">
              <w:t xml:space="preserve"> szabadonálló beépítési mód is alkalmazható. Az építési tevékenység feltétele a talajmechanikai vizsgálat beszerzése.</w:t>
            </w:r>
          </w:p>
        </w:tc>
      </w:tr>
    </w:tbl>
    <w:p w:rsidR="00D07C52" w:rsidRPr="00032BAD" w:rsidRDefault="00D07C52" w:rsidP="00D07C52">
      <w:pPr>
        <w:jc w:val="both"/>
      </w:pPr>
    </w:p>
    <w:tbl>
      <w:tblPr>
        <w:tblW w:w="83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672"/>
      </w:tblGrid>
      <w:tr w:rsidR="00D07C52" w:rsidRPr="00032BAD" w:rsidTr="007D1980">
        <w:trPr>
          <w:trHeight w:val="345"/>
        </w:trPr>
        <w:tc>
          <w:tcPr>
            <w:tcW w:w="8336" w:type="dxa"/>
            <w:gridSpan w:val="2"/>
            <w:vAlign w:val="center"/>
          </w:tcPr>
          <w:p w:rsidR="00D07C52" w:rsidRPr="00032BAD" w:rsidRDefault="00D07C52" w:rsidP="007D1980">
            <w:r w:rsidRPr="00032BAD">
              <w:rPr>
                <w:b/>
              </w:rPr>
              <w:t>Lf-3. jelű építési övezet</w:t>
            </w:r>
          </w:p>
        </w:tc>
      </w:tr>
      <w:tr w:rsidR="00D07C52" w:rsidRPr="00032BAD" w:rsidTr="007D1980">
        <w:trPr>
          <w:trHeight w:val="300"/>
        </w:trPr>
        <w:tc>
          <w:tcPr>
            <w:tcW w:w="4664" w:type="dxa"/>
            <w:vAlign w:val="center"/>
          </w:tcPr>
          <w:p w:rsidR="00D07C52" w:rsidRPr="00032BAD" w:rsidRDefault="00D07C52" w:rsidP="007D1980">
            <w:r w:rsidRPr="00032BAD">
              <w:t>Beépítési mód</w:t>
            </w:r>
          </w:p>
        </w:tc>
        <w:tc>
          <w:tcPr>
            <w:tcW w:w="3672" w:type="dxa"/>
            <w:vAlign w:val="center"/>
          </w:tcPr>
          <w:p w:rsidR="00D07C52" w:rsidRPr="00032BAD" w:rsidRDefault="00D07C52" w:rsidP="007D1980">
            <w:r w:rsidRPr="00032BAD">
              <w:t>oldalhatáron álló</w:t>
            </w:r>
          </w:p>
        </w:tc>
      </w:tr>
      <w:tr w:rsidR="00D07C52" w:rsidRPr="00032BAD" w:rsidTr="007D1980">
        <w:trPr>
          <w:trHeight w:val="300"/>
        </w:trPr>
        <w:tc>
          <w:tcPr>
            <w:tcW w:w="4664" w:type="dxa"/>
            <w:vAlign w:val="center"/>
          </w:tcPr>
          <w:p w:rsidR="00D07C52" w:rsidRPr="00032BAD" w:rsidRDefault="00D07C52" w:rsidP="007D1980">
            <w:r w:rsidRPr="00032BAD">
              <w:t>Kialakítható, beépíthető telek területe</w:t>
            </w:r>
          </w:p>
        </w:tc>
        <w:tc>
          <w:tcPr>
            <w:tcW w:w="3672" w:type="dxa"/>
            <w:vAlign w:val="center"/>
          </w:tcPr>
          <w:p w:rsidR="00D07C52" w:rsidRPr="00032BAD" w:rsidRDefault="00D07C52" w:rsidP="007D1980">
            <w:pPr>
              <w:rPr>
                <w:vertAlign w:val="superscript"/>
              </w:rPr>
            </w:pPr>
            <w:r w:rsidRPr="00032BAD">
              <w:t xml:space="preserve">min. </w:t>
            </w:r>
            <w:smartTag w:uri="urn:schemas-microsoft-com:office:smarttags" w:element="metricconverter">
              <w:smartTagPr>
                <w:attr w:name="ProductID" w:val="900 m2"/>
              </w:smartTagPr>
              <w:r w:rsidRPr="00032BAD">
                <w:t>900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Kialakítható, beépíthető telek szélessége</w:t>
            </w:r>
          </w:p>
        </w:tc>
        <w:tc>
          <w:tcPr>
            <w:tcW w:w="3672" w:type="dxa"/>
            <w:vAlign w:val="center"/>
          </w:tcPr>
          <w:p w:rsidR="00D07C52" w:rsidRPr="00032BAD" w:rsidRDefault="00D07C52" w:rsidP="007D1980">
            <w:r w:rsidRPr="00032BAD">
              <w:t xml:space="preserve">min. </w:t>
            </w:r>
            <w:smartTag w:uri="urn:schemas-microsoft-com:office:smarttags" w:element="metricconverter">
              <w:smartTagPr>
                <w:attr w:name="ProductID" w:val="20 m"/>
              </w:smartTagPr>
              <w:r w:rsidRPr="00032BAD">
                <w:t>20 m</w:t>
              </w:r>
            </w:smartTag>
            <w:r w:rsidRPr="00032BAD">
              <w:t xml:space="preserve"> a telek homlokvonalán</w:t>
            </w:r>
          </w:p>
        </w:tc>
      </w:tr>
      <w:tr w:rsidR="00D07C52" w:rsidRPr="00032BAD" w:rsidTr="007D1980">
        <w:trPr>
          <w:trHeight w:val="300"/>
        </w:trPr>
        <w:tc>
          <w:tcPr>
            <w:tcW w:w="4664" w:type="dxa"/>
            <w:vAlign w:val="center"/>
          </w:tcPr>
          <w:p w:rsidR="00D07C52" w:rsidRPr="00032BAD" w:rsidRDefault="00D07C52" w:rsidP="007D1980">
            <w:r w:rsidRPr="00032BAD">
              <w:t>Megengedett legnagyobb beépítettség</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 xml:space="preserve">Megengedett legnagyobb terepszint alatti beépítettség </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Megengedett legkisebb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3,0 m"/>
              </w:smartTagPr>
              <w:r w:rsidRPr="00032BAD">
                <w:t>3,0 m</w:t>
              </w:r>
            </w:smartTag>
          </w:p>
        </w:tc>
      </w:tr>
      <w:tr w:rsidR="00D07C52" w:rsidRPr="00032BAD" w:rsidTr="007D1980">
        <w:trPr>
          <w:trHeight w:val="300"/>
        </w:trPr>
        <w:tc>
          <w:tcPr>
            <w:tcW w:w="4664" w:type="dxa"/>
            <w:vAlign w:val="center"/>
          </w:tcPr>
          <w:p w:rsidR="00D07C52" w:rsidRPr="00032BAD" w:rsidRDefault="00D07C52" w:rsidP="007D1980">
            <w:r w:rsidRPr="00032BAD">
              <w:t>Megengedett legnagyobb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4,5 m"/>
              </w:smartTagPr>
              <w:r w:rsidRPr="00032BAD">
                <w:t>4,5 m</w:t>
              </w:r>
            </w:smartTag>
          </w:p>
        </w:tc>
      </w:tr>
      <w:tr w:rsidR="00D07C52" w:rsidRPr="00032BAD" w:rsidTr="007D1980">
        <w:trPr>
          <w:trHeight w:val="300"/>
        </w:trPr>
        <w:tc>
          <w:tcPr>
            <w:tcW w:w="4664" w:type="dxa"/>
            <w:vAlign w:val="center"/>
          </w:tcPr>
          <w:p w:rsidR="00D07C52" w:rsidRPr="00032BAD" w:rsidRDefault="00D07C52" w:rsidP="007D1980">
            <w:r w:rsidRPr="00032BAD">
              <w:t>Megengedett legkisebb zöldfelület</w:t>
            </w:r>
          </w:p>
        </w:tc>
        <w:tc>
          <w:tcPr>
            <w:tcW w:w="3672" w:type="dxa"/>
            <w:vAlign w:val="center"/>
          </w:tcPr>
          <w:p w:rsidR="00D07C52" w:rsidRPr="00032BAD" w:rsidRDefault="00D07C52" w:rsidP="007D1980">
            <w:r w:rsidRPr="00032BAD">
              <w:t>40 %</w:t>
            </w:r>
          </w:p>
        </w:tc>
      </w:tr>
      <w:tr w:rsidR="00D07C52" w:rsidRPr="00032BAD" w:rsidTr="007D1980">
        <w:trPr>
          <w:trHeight w:val="300"/>
        </w:trPr>
        <w:tc>
          <w:tcPr>
            <w:tcW w:w="8336" w:type="dxa"/>
            <w:gridSpan w:val="2"/>
            <w:vAlign w:val="center"/>
          </w:tcPr>
          <w:p w:rsidR="00D07C52" w:rsidRPr="00032BAD" w:rsidRDefault="00D07C52" w:rsidP="007D1980">
            <w:r w:rsidRPr="00032BAD">
              <w:t>Az övezetben a megengedett legkisebb tetőhajlásszög 30° lehet.</w:t>
            </w:r>
          </w:p>
        </w:tc>
      </w:tr>
    </w:tbl>
    <w:p w:rsidR="00D07C52" w:rsidRPr="00032BAD" w:rsidRDefault="00D07C52" w:rsidP="00D07C52">
      <w:pPr>
        <w:jc w:val="both"/>
      </w:pPr>
    </w:p>
    <w:p w:rsidR="00C62D64" w:rsidRDefault="00C62D64" w:rsidP="003F3966">
      <w:pPr>
        <w:rPr>
          <w:lang w:eastAsia="en-US"/>
        </w:rPr>
      </w:pPr>
    </w:p>
    <w:p w:rsidR="00032BAD" w:rsidRDefault="00032BAD" w:rsidP="003F3966">
      <w:pPr>
        <w:rPr>
          <w:lang w:eastAsia="en-US"/>
        </w:rPr>
      </w:pPr>
    </w:p>
    <w:p w:rsidR="00032BAD" w:rsidRDefault="00032BAD" w:rsidP="003F3966">
      <w:pPr>
        <w:rPr>
          <w:lang w:eastAsia="en-US"/>
        </w:rPr>
      </w:pPr>
    </w:p>
    <w:p w:rsidR="00032BAD" w:rsidRDefault="00032BAD" w:rsidP="003F3966">
      <w:pPr>
        <w:rPr>
          <w:lang w:eastAsia="en-US"/>
        </w:rPr>
      </w:pPr>
    </w:p>
    <w:p w:rsidR="00032BAD" w:rsidRDefault="00032BAD" w:rsidP="003F3966">
      <w:pPr>
        <w:rPr>
          <w:lang w:eastAsia="en-US"/>
        </w:rPr>
      </w:pPr>
    </w:p>
    <w:p w:rsidR="003F3966" w:rsidRPr="00032BAD" w:rsidRDefault="003F3966" w:rsidP="003F3966">
      <w:pPr>
        <w:rPr>
          <w:lang w:eastAsia="en-US"/>
        </w:rPr>
      </w:pPr>
      <w:r w:rsidRPr="00032BAD">
        <w:rPr>
          <w:i/>
          <w:lang w:eastAsia="en-US"/>
        </w:rPr>
        <w:t xml:space="preserve">2. számú melléklet a </w:t>
      </w:r>
      <w:r w:rsidR="00032BAD">
        <w:rPr>
          <w:i/>
          <w:lang w:eastAsia="en-US"/>
        </w:rPr>
        <w:t>4</w:t>
      </w:r>
      <w:r w:rsidRPr="00032BAD">
        <w:rPr>
          <w:i/>
          <w:lang w:eastAsia="en-US"/>
        </w:rPr>
        <w:t>/2017. (</w:t>
      </w:r>
      <w:r w:rsidR="00032BAD">
        <w:rPr>
          <w:i/>
          <w:lang w:eastAsia="en-US"/>
        </w:rPr>
        <w:t>VI.01.</w:t>
      </w:r>
      <w:r w:rsidRPr="00032BAD">
        <w:rPr>
          <w:i/>
          <w:lang w:eastAsia="en-US"/>
        </w:rPr>
        <w:t>) számú önkormányzati rendelethez</w:t>
      </w:r>
    </w:p>
    <w:p w:rsidR="003F3966" w:rsidRPr="00032BAD" w:rsidRDefault="003F3966" w:rsidP="00D07C52">
      <w:pPr>
        <w:jc w:val="both"/>
      </w:pPr>
    </w:p>
    <w:p w:rsidR="003F3966" w:rsidRPr="00032BAD" w:rsidRDefault="003F3966" w:rsidP="003F3966">
      <w:pPr>
        <w:jc w:val="both"/>
        <w:rPr>
          <w:i/>
          <w:lang w:eastAsia="en-US"/>
        </w:rPr>
      </w:pPr>
    </w:p>
    <w:p w:rsidR="00D07C52" w:rsidRPr="00032BAD" w:rsidRDefault="00D07C52" w:rsidP="00D07C52">
      <w:pPr>
        <w:jc w:val="both"/>
      </w:pPr>
      <w:r w:rsidRPr="00032BAD">
        <w:t>A településközpont vegyes terület építési övezeteiben a kialakult beépítés figyelembevételével az alábbi telekalakítási és beépítési előírásokat kell alkalmazni:</w:t>
      </w:r>
    </w:p>
    <w:p w:rsidR="00D07C52" w:rsidRPr="00032BAD" w:rsidRDefault="00D07C52" w:rsidP="00D07C52">
      <w:pPr>
        <w:jc w:val="both"/>
      </w:pPr>
    </w:p>
    <w:tbl>
      <w:tblPr>
        <w:tblW w:w="83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672"/>
      </w:tblGrid>
      <w:tr w:rsidR="00D07C52" w:rsidRPr="00032BAD" w:rsidTr="007D1980">
        <w:trPr>
          <w:trHeight w:val="345"/>
        </w:trPr>
        <w:tc>
          <w:tcPr>
            <w:tcW w:w="8336" w:type="dxa"/>
            <w:gridSpan w:val="2"/>
            <w:vAlign w:val="center"/>
          </w:tcPr>
          <w:p w:rsidR="00D07C52" w:rsidRPr="00032BAD" w:rsidRDefault="00D07C52" w:rsidP="007D1980">
            <w:r w:rsidRPr="00032BAD">
              <w:br w:type="page"/>
            </w:r>
            <w:r w:rsidRPr="00032BAD">
              <w:rPr>
                <w:b/>
              </w:rPr>
              <w:t>Vt jelű építési övezet</w:t>
            </w:r>
          </w:p>
        </w:tc>
      </w:tr>
      <w:tr w:rsidR="00D07C52" w:rsidRPr="00032BAD" w:rsidTr="007D1980">
        <w:trPr>
          <w:trHeight w:val="300"/>
        </w:trPr>
        <w:tc>
          <w:tcPr>
            <w:tcW w:w="4664" w:type="dxa"/>
            <w:vAlign w:val="center"/>
          </w:tcPr>
          <w:p w:rsidR="00D07C52" w:rsidRPr="00032BAD" w:rsidRDefault="00D07C52" w:rsidP="007D1980">
            <w:r w:rsidRPr="00032BAD">
              <w:t>Beépítési mód</w:t>
            </w:r>
          </w:p>
        </w:tc>
        <w:tc>
          <w:tcPr>
            <w:tcW w:w="3672" w:type="dxa"/>
            <w:vAlign w:val="center"/>
          </w:tcPr>
          <w:p w:rsidR="00D07C52" w:rsidRPr="00032BAD" w:rsidRDefault="00D07C52" w:rsidP="007D1980">
            <w:r w:rsidRPr="00032BAD">
              <w:t>K - szabadon álló</w:t>
            </w:r>
          </w:p>
        </w:tc>
      </w:tr>
      <w:tr w:rsidR="00D07C52" w:rsidRPr="00032BAD" w:rsidTr="007D1980">
        <w:trPr>
          <w:trHeight w:val="300"/>
        </w:trPr>
        <w:tc>
          <w:tcPr>
            <w:tcW w:w="4664" w:type="dxa"/>
            <w:vAlign w:val="center"/>
          </w:tcPr>
          <w:p w:rsidR="00D07C52" w:rsidRPr="00032BAD" w:rsidRDefault="00D07C52" w:rsidP="007D1980">
            <w:r w:rsidRPr="00032BAD">
              <w:t>Kialakítható, beépíthető telek területe</w:t>
            </w:r>
          </w:p>
        </w:tc>
        <w:tc>
          <w:tcPr>
            <w:tcW w:w="3672" w:type="dxa"/>
            <w:vAlign w:val="center"/>
          </w:tcPr>
          <w:p w:rsidR="00D07C52" w:rsidRPr="00032BAD" w:rsidRDefault="00D07C52" w:rsidP="007D1980">
            <w:pPr>
              <w:rPr>
                <w:vertAlign w:val="superscript"/>
              </w:rPr>
            </w:pPr>
            <w:r w:rsidRPr="00032BAD">
              <w:t xml:space="preserve">min. </w:t>
            </w:r>
            <w:smartTag w:uri="urn:schemas-microsoft-com:office:smarttags" w:element="metricconverter">
              <w:smartTagPr>
                <w:attr w:name="ProductID" w:val="1500 m2"/>
              </w:smartTagPr>
              <w:r w:rsidRPr="00032BAD">
                <w:t>1500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Kialakítható, beépíthető telek szélessége</w:t>
            </w:r>
          </w:p>
        </w:tc>
        <w:tc>
          <w:tcPr>
            <w:tcW w:w="3672" w:type="dxa"/>
            <w:vAlign w:val="center"/>
          </w:tcPr>
          <w:p w:rsidR="00D07C52" w:rsidRPr="00032BAD" w:rsidRDefault="00D07C52" w:rsidP="007D1980">
            <w:r w:rsidRPr="00032BAD">
              <w:t xml:space="preserve">min. </w:t>
            </w:r>
            <w:smartTag w:uri="urn:schemas-microsoft-com:office:smarttags" w:element="metricconverter">
              <w:smartTagPr>
                <w:attr w:name="ProductID" w:val="20 m"/>
              </w:smartTagPr>
              <w:r w:rsidRPr="00032BAD">
                <w:t>20 m</w:t>
              </w:r>
            </w:smartTag>
            <w:r w:rsidRPr="00032BAD">
              <w:t xml:space="preserve"> a telek homlokvonalán</w:t>
            </w:r>
          </w:p>
        </w:tc>
      </w:tr>
      <w:tr w:rsidR="00D07C52" w:rsidRPr="00032BAD" w:rsidTr="007D1980">
        <w:trPr>
          <w:trHeight w:val="300"/>
        </w:trPr>
        <w:tc>
          <w:tcPr>
            <w:tcW w:w="4664" w:type="dxa"/>
            <w:vAlign w:val="center"/>
          </w:tcPr>
          <w:p w:rsidR="00D07C52" w:rsidRPr="00032BAD" w:rsidRDefault="00D07C52" w:rsidP="007D1980">
            <w:r w:rsidRPr="00032BAD">
              <w:t>Megengedett legnagyobb beépítettség</w:t>
            </w:r>
          </w:p>
        </w:tc>
        <w:tc>
          <w:tcPr>
            <w:tcW w:w="3672" w:type="dxa"/>
            <w:vAlign w:val="center"/>
          </w:tcPr>
          <w:p w:rsidR="00D07C52" w:rsidRPr="00032BAD" w:rsidRDefault="00D07C52" w:rsidP="007D1980">
            <w:r w:rsidRPr="00032BAD">
              <w:t xml:space="preserve">K – 30 %, de maximum: </w:t>
            </w:r>
            <w:smartTag w:uri="urn:schemas-microsoft-com:office:smarttags" w:element="metricconverter">
              <w:smartTagPr>
                <w:attr w:name="ProductID" w:val="600 m2"/>
              </w:smartTagPr>
              <w:r w:rsidRPr="00032BAD">
                <w:t>600 m</w:t>
              </w:r>
              <w:r w:rsidRPr="00032BAD">
                <w:rPr>
                  <w:vertAlign w:val="superscript"/>
                </w:rPr>
                <w:t>2</w:t>
              </w:r>
            </w:smartTag>
          </w:p>
        </w:tc>
      </w:tr>
      <w:tr w:rsidR="00D07C52" w:rsidRPr="00032BAD" w:rsidTr="007D1980">
        <w:trPr>
          <w:trHeight w:val="300"/>
        </w:trPr>
        <w:tc>
          <w:tcPr>
            <w:tcW w:w="4664" w:type="dxa"/>
            <w:vAlign w:val="center"/>
          </w:tcPr>
          <w:p w:rsidR="00D07C52" w:rsidRPr="00032BAD" w:rsidRDefault="00D07C52" w:rsidP="007D1980">
            <w:r w:rsidRPr="00032BAD">
              <w:t xml:space="preserve">Megengedett legnagyobb terepszint alatti beépítettség </w:t>
            </w:r>
          </w:p>
        </w:tc>
        <w:tc>
          <w:tcPr>
            <w:tcW w:w="3672" w:type="dxa"/>
            <w:vAlign w:val="center"/>
          </w:tcPr>
          <w:p w:rsidR="00D07C52" w:rsidRPr="00032BAD" w:rsidRDefault="00D07C52" w:rsidP="007D1980">
            <w:r w:rsidRPr="00032BAD">
              <w:t>K – 30 %</w:t>
            </w:r>
          </w:p>
        </w:tc>
      </w:tr>
      <w:tr w:rsidR="00D07C52" w:rsidRPr="00032BAD" w:rsidTr="007D1980">
        <w:trPr>
          <w:trHeight w:val="300"/>
        </w:trPr>
        <w:tc>
          <w:tcPr>
            <w:tcW w:w="4664" w:type="dxa"/>
            <w:vAlign w:val="center"/>
          </w:tcPr>
          <w:p w:rsidR="00D07C52" w:rsidRPr="00032BAD" w:rsidRDefault="00D07C52" w:rsidP="007D1980">
            <w:r w:rsidRPr="00032BAD">
              <w:t>Megengedett legkisebb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3,0 m"/>
              </w:smartTagPr>
              <w:r w:rsidRPr="00032BAD">
                <w:t>3,0 m</w:t>
              </w:r>
            </w:smartTag>
          </w:p>
        </w:tc>
      </w:tr>
      <w:tr w:rsidR="00D07C52" w:rsidRPr="00032BAD" w:rsidTr="007D1980">
        <w:trPr>
          <w:trHeight w:val="300"/>
        </w:trPr>
        <w:tc>
          <w:tcPr>
            <w:tcW w:w="4664" w:type="dxa"/>
            <w:vAlign w:val="center"/>
          </w:tcPr>
          <w:p w:rsidR="00D07C52" w:rsidRPr="00032BAD" w:rsidRDefault="00D07C52" w:rsidP="007D1980">
            <w:r w:rsidRPr="00032BAD">
              <w:t>Megengedett legnagyobb utcai építménymagasság</w:t>
            </w:r>
          </w:p>
        </w:tc>
        <w:tc>
          <w:tcPr>
            <w:tcW w:w="3672" w:type="dxa"/>
            <w:vAlign w:val="center"/>
          </w:tcPr>
          <w:p w:rsidR="00D07C52" w:rsidRPr="00032BAD" w:rsidRDefault="00D07C52" w:rsidP="007D1980">
            <w:r w:rsidRPr="00032BAD">
              <w:t xml:space="preserve">K – </w:t>
            </w:r>
            <w:smartTag w:uri="urn:schemas-microsoft-com:office:smarttags" w:element="metricconverter">
              <w:smartTagPr>
                <w:attr w:name="ProductID" w:val="5,5 m"/>
              </w:smartTagPr>
              <w:r w:rsidRPr="00032BAD">
                <w:t>5,5 m</w:t>
              </w:r>
            </w:smartTag>
          </w:p>
        </w:tc>
      </w:tr>
      <w:tr w:rsidR="00D07C52" w:rsidRPr="00032BAD" w:rsidTr="007D1980">
        <w:trPr>
          <w:trHeight w:val="300"/>
        </w:trPr>
        <w:tc>
          <w:tcPr>
            <w:tcW w:w="4664" w:type="dxa"/>
            <w:vAlign w:val="center"/>
          </w:tcPr>
          <w:p w:rsidR="00D07C52" w:rsidRPr="00032BAD" w:rsidRDefault="00D07C52" w:rsidP="007D1980">
            <w:r w:rsidRPr="00032BAD">
              <w:t>Megengedett legkisebb zöldfelület</w:t>
            </w:r>
          </w:p>
        </w:tc>
        <w:tc>
          <w:tcPr>
            <w:tcW w:w="3672" w:type="dxa"/>
            <w:vAlign w:val="center"/>
          </w:tcPr>
          <w:p w:rsidR="00D07C52" w:rsidRPr="00032BAD" w:rsidRDefault="00D07C52" w:rsidP="007D1980">
            <w:r w:rsidRPr="00032BAD">
              <w:t>50 %</w:t>
            </w:r>
          </w:p>
        </w:tc>
      </w:tr>
    </w:tbl>
    <w:p w:rsidR="00D07C52" w:rsidRPr="00032BAD" w:rsidRDefault="00D07C52" w:rsidP="00D07C52"/>
    <w:p w:rsidR="00C62D64" w:rsidRPr="00032BAD" w:rsidRDefault="00C62D64" w:rsidP="00D07C52"/>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C62D64" w:rsidRPr="00032BAD" w:rsidRDefault="00C62D64" w:rsidP="00C62D64">
      <w:pPr>
        <w:rPr>
          <w:lang w:eastAsia="en-US"/>
        </w:rPr>
      </w:pPr>
      <w:r w:rsidRPr="00032BAD">
        <w:rPr>
          <w:i/>
          <w:lang w:eastAsia="en-US"/>
        </w:rPr>
        <w:t xml:space="preserve">3. számú melléklet a  </w:t>
      </w:r>
      <w:r w:rsidR="00032BAD">
        <w:rPr>
          <w:i/>
          <w:lang w:eastAsia="en-US"/>
        </w:rPr>
        <w:t>4</w:t>
      </w:r>
      <w:r w:rsidRPr="00032BAD">
        <w:rPr>
          <w:i/>
          <w:lang w:eastAsia="en-US"/>
        </w:rPr>
        <w:t xml:space="preserve"> /2017. (</w:t>
      </w:r>
      <w:r w:rsidR="00032BAD">
        <w:rPr>
          <w:i/>
          <w:lang w:eastAsia="en-US"/>
        </w:rPr>
        <w:t>VI.01.</w:t>
      </w:r>
      <w:r w:rsidRPr="00032BAD">
        <w:rPr>
          <w:i/>
          <w:lang w:eastAsia="en-US"/>
        </w:rPr>
        <w:t>) számú önkormányzati rendelethez</w:t>
      </w:r>
    </w:p>
    <w:p w:rsidR="00C62D64" w:rsidRPr="00032BAD" w:rsidRDefault="00C62D64" w:rsidP="00C62D64">
      <w:pPr>
        <w:jc w:val="both"/>
      </w:pPr>
    </w:p>
    <w:p w:rsidR="00C62D64" w:rsidRPr="00032BAD" w:rsidRDefault="00C62D64" w:rsidP="00C62D64">
      <w:pPr>
        <w:rPr>
          <w:lang w:eastAsia="en-US"/>
        </w:rPr>
      </w:pPr>
    </w:p>
    <w:p w:rsidR="00C62D64" w:rsidRPr="004D122E" w:rsidRDefault="00C62D64" w:rsidP="00C62D64">
      <w:pPr>
        <w:rPr>
          <w:rFonts w:ascii="Arial" w:hAnsi="Arial" w:cs="Arial"/>
          <w:sz w:val="20"/>
          <w:szCs w:val="20"/>
          <w:lang w:eastAsia="en-US"/>
        </w:rPr>
      </w:pPr>
      <w:r w:rsidRPr="004D122E">
        <w:rPr>
          <w:rFonts w:ascii="Arial" w:hAnsi="Arial" w:cs="Arial"/>
          <w:noProof/>
          <w:sz w:val="20"/>
          <w:szCs w:val="20"/>
        </w:rPr>
        <w:drawing>
          <wp:inline distT="0" distB="0" distL="0" distR="0">
            <wp:extent cx="5760720" cy="2798730"/>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98730"/>
                    </a:xfrm>
                    <a:prstGeom prst="rect">
                      <a:avLst/>
                    </a:prstGeom>
                    <a:noFill/>
                    <a:ln>
                      <a:noFill/>
                    </a:ln>
                  </pic:spPr>
                </pic:pic>
              </a:graphicData>
            </a:graphic>
          </wp:inline>
        </w:drawing>
      </w:r>
      <w:bookmarkStart w:id="10" w:name="_GoBack"/>
      <w:bookmarkEnd w:id="10"/>
    </w:p>
    <w:p w:rsidR="00C62D64" w:rsidRPr="004D122E" w:rsidRDefault="00C62D64" w:rsidP="00C62D64">
      <w:pPr>
        <w:jc w:val="both"/>
        <w:rPr>
          <w:rFonts w:ascii="Arial" w:hAnsi="Arial" w:cs="Arial"/>
          <w:sz w:val="20"/>
          <w:szCs w:val="20"/>
          <w:lang w:eastAsia="en-US"/>
        </w:rPr>
      </w:pPr>
      <w:r w:rsidRPr="004D122E">
        <w:rPr>
          <w:rFonts w:ascii="Arial" w:hAnsi="Arial" w:cs="Arial"/>
          <w:noProof/>
          <w:sz w:val="20"/>
          <w:szCs w:val="20"/>
        </w:rPr>
        <w:drawing>
          <wp:inline distT="0" distB="0" distL="0" distR="0">
            <wp:extent cx="5760720" cy="399588"/>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9588"/>
                    </a:xfrm>
                    <a:prstGeom prst="rect">
                      <a:avLst/>
                    </a:prstGeom>
                    <a:noFill/>
                    <a:ln>
                      <a:noFill/>
                    </a:ln>
                  </pic:spPr>
                </pic:pic>
              </a:graphicData>
            </a:graphic>
          </wp:inline>
        </w:drawing>
      </w:r>
    </w:p>
    <w:p w:rsidR="00C62D64" w:rsidRPr="00032BAD" w:rsidRDefault="00C62D64" w:rsidP="00C62D64">
      <w:pPr>
        <w:jc w:val="both"/>
        <w:rPr>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032BAD" w:rsidRDefault="00032BAD" w:rsidP="00C62D64">
      <w:pPr>
        <w:rPr>
          <w:i/>
          <w:lang w:eastAsia="en-US"/>
        </w:rPr>
      </w:pPr>
    </w:p>
    <w:p w:rsidR="00C62D64" w:rsidRPr="00032BAD" w:rsidRDefault="00C62D64" w:rsidP="00C62D64">
      <w:pPr>
        <w:rPr>
          <w:i/>
          <w:lang w:eastAsia="en-US"/>
        </w:rPr>
      </w:pPr>
      <w:r w:rsidRPr="00032BAD">
        <w:rPr>
          <w:i/>
          <w:lang w:eastAsia="en-US"/>
        </w:rPr>
        <w:t xml:space="preserve">4. számú melléklet a  </w:t>
      </w:r>
      <w:r w:rsidR="00032BAD">
        <w:rPr>
          <w:i/>
          <w:lang w:eastAsia="en-US"/>
        </w:rPr>
        <w:t>4</w:t>
      </w:r>
      <w:r w:rsidRPr="00032BAD">
        <w:rPr>
          <w:i/>
          <w:lang w:eastAsia="en-US"/>
        </w:rPr>
        <w:t xml:space="preserve"> /2017. (</w:t>
      </w:r>
      <w:r w:rsidR="00032BAD">
        <w:rPr>
          <w:i/>
          <w:lang w:eastAsia="en-US"/>
        </w:rPr>
        <w:t>VI.01.</w:t>
      </w:r>
      <w:r w:rsidRPr="00032BAD">
        <w:rPr>
          <w:i/>
          <w:lang w:eastAsia="en-US"/>
        </w:rPr>
        <w:t>) számú önkormányzati rendelethez</w:t>
      </w:r>
    </w:p>
    <w:p w:rsidR="00C62D64" w:rsidRPr="00032BAD" w:rsidRDefault="00C62D64" w:rsidP="00C62D64">
      <w:pPr>
        <w:rPr>
          <w:i/>
          <w:lang w:eastAsia="en-US"/>
        </w:rPr>
      </w:pPr>
    </w:p>
    <w:p w:rsidR="00C62D64" w:rsidRPr="00032BAD" w:rsidRDefault="00C62D64" w:rsidP="00C62D64">
      <w:pPr>
        <w:rPr>
          <w:lang w:eastAsia="en-US"/>
        </w:rPr>
      </w:pPr>
    </w:p>
    <w:p w:rsidR="00C62D64" w:rsidRPr="00032BAD" w:rsidRDefault="00C62D64" w:rsidP="00C62D64">
      <w:pPr>
        <w:rPr>
          <w:lang w:eastAsia="en-US"/>
        </w:rPr>
      </w:pPr>
      <w:r w:rsidRPr="00032BAD">
        <w:rPr>
          <w:noProof/>
        </w:rPr>
        <w:drawing>
          <wp:inline distT="0" distB="0" distL="0" distR="0">
            <wp:extent cx="5760720" cy="1967653"/>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67653"/>
                    </a:xfrm>
                    <a:prstGeom prst="rect">
                      <a:avLst/>
                    </a:prstGeom>
                    <a:noFill/>
                    <a:ln>
                      <a:noFill/>
                    </a:ln>
                  </pic:spPr>
                </pic:pic>
              </a:graphicData>
            </a:graphic>
          </wp:inline>
        </w:drawing>
      </w:r>
    </w:p>
    <w:p w:rsidR="00C62D64" w:rsidRPr="00032BAD" w:rsidRDefault="00C62D64" w:rsidP="00C62D64">
      <w:pPr>
        <w:rPr>
          <w:lang w:eastAsia="en-US"/>
        </w:rPr>
      </w:pPr>
      <w:r w:rsidRPr="00032BAD">
        <w:rPr>
          <w:noProof/>
        </w:rPr>
        <w:drawing>
          <wp:inline distT="0" distB="0" distL="0" distR="0">
            <wp:extent cx="5760720" cy="4898732"/>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898732"/>
                    </a:xfrm>
                    <a:prstGeom prst="rect">
                      <a:avLst/>
                    </a:prstGeom>
                    <a:noFill/>
                    <a:ln>
                      <a:noFill/>
                    </a:ln>
                  </pic:spPr>
                </pic:pic>
              </a:graphicData>
            </a:graphic>
          </wp:inline>
        </w:drawing>
      </w:r>
    </w:p>
    <w:p w:rsidR="00C62D64" w:rsidRPr="00032BAD" w:rsidRDefault="00C62D64" w:rsidP="00C62D64">
      <w:pPr>
        <w:rPr>
          <w:lang w:eastAsia="en-US"/>
        </w:rPr>
      </w:pPr>
    </w:p>
    <w:p w:rsidR="00C62D64" w:rsidRPr="00032BAD" w:rsidRDefault="00C62D64" w:rsidP="00C62D64">
      <w:pPr>
        <w:rPr>
          <w:i/>
          <w:lang w:eastAsia="en-US"/>
        </w:rPr>
      </w:pPr>
    </w:p>
    <w:p w:rsidR="00C62D64" w:rsidRPr="00032BAD" w:rsidRDefault="00C62D64" w:rsidP="00C62D64">
      <w:pPr>
        <w:rPr>
          <w:i/>
          <w:lang w:eastAsia="en-US"/>
        </w:rPr>
      </w:pPr>
    </w:p>
    <w:p w:rsidR="00C62D64" w:rsidRPr="00032BAD" w:rsidRDefault="00C62D64" w:rsidP="00C62D64">
      <w:pPr>
        <w:rPr>
          <w:lang w:eastAsia="en-US"/>
        </w:rPr>
      </w:pPr>
    </w:p>
    <w:p w:rsidR="00C62D64" w:rsidRPr="00032BAD" w:rsidRDefault="00C62D64" w:rsidP="00C62D64">
      <w:pPr>
        <w:jc w:val="both"/>
        <w:rPr>
          <w:lang w:eastAsia="en-US"/>
        </w:rPr>
      </w:pPr>
    </w:p>
    <w:p w:rsidR="00C62D64" w:rsidRPr="00032BAD" w:rsidRDefault="00C62D64" w:rsidP="00D07C52"/>
    <w:p w:rsidR="00D07C52" w:rsidRPr="00032BAD" w:rsidRDefault="00D07C52" w:rsidP="005251F3">
      <w:pPr>
        <w:rPr>
          <w:lang w:eastAsia="en-US"/>
        </w:rPr>
      </w:pPr>
    </w:p>
    <w:sectPr w:rsidR="00D07C52" w:rsidRPr="00032BAD" w:rsidSect="00A17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8F0" w:rsidRDefault="00AC18F0" w:rsidP="00472B2F">
      <w:r>
        <w:separator/>
      </w:r>
    </w:p>
  </w:endnote>
  <w:endnote w:type="continuationSeparator" w:id="0">
    <w:p w:rsidR="00AC18F0" w:rsidRDefault="00AC18F0" w:rsidP="0047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8F0" w:rsidRDefault="00AC18F0" w:rsidP="00472B2F">
      <w:r>
        <w:separator/>
      </w:r>
    </w:p>
  </w:footnote>
  <w:footnote w:type="continuationSeparator" w:id="0">
    <w:p w:rsidR="00AC18F0" w:rsidRDefault="00AC18F0" w:rsidP="0047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D95"/>
    <w:multiLevelType w:val="hybridMultilevel"/>
    <w:tmpl w:val="85767AC6"/>
    <w:lvl w:ilvl="0" w:tplc="0DC0ED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B012E6"/>
    <w:multiLevelType w:val="hybridMultilevel"/>
    <w:tmpl w:val="F5D46152"/>
    <w:lvl w:ilvl="0" w:tplc="BAB2C2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119DD"/>
    <w:multiLevelType w:val="singleLevel"/>
    <w:tmpl w:val="B8C4DB2A"/>
    <w:lvl w:ilvl="0">
      <w:start w:val="2"/>
      <w:numFmt w:val="decimal"/>
      <w:lvlText w:val="(%1) "/>
      <w:lvlJc w:val="left"/>
      <w:pPr>
        <w:tabs>
          <w:tab w:val="num" w:pos="360"/>
        </w:tabs>
        <w:ind w:left="283" w:hanging="283"/>
      </w:pPr>
      <w:rPr>
        <w:rFonts w:ascii="Times New Roman" w:hAnsi="Times New Roman" w:hint="default"/>
        <w:b w:val="0"/>
        <w:i w:val="0"/>
        <w:sz w:val="24"/>
        <w:u w:val="none"/>
      </w:rPr>
    </w:lvl>
  </w:abstractNum>
  <w:abstractNum w:abstractNumId="3" w15:restartNumberingAfterBreak="0">
    <w:nsid w:val="24841A10"/>
    <w:multiLevelType w:val="multilevel"/>
    <w:tmpl w:val="F95AB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D86D17"/>
    <w:multiLevelType w:val="singleLevel"/>
    <w:tmpl w:val="99E0D228"/>
    <w:lvl w:ilvl="0">
      <w:start w:val="1"/>
      <w:numFmt w:val="decimal"/>
      <w:lvlText w:val="(%1)"/>
      <w:lvlJc w:val="left"/>
      <w:pPr>
        <w:tabs>
          <w:tab w:val="num" w:pos="360"/>
        </w:tabs>
        <w:ind w:left="360" w:hanging="360"/>
      </w:pPr>
      <w:rPr>
        <w:rFonts w:hint="default"/>
      </w:rPr>
    </w:lvl>
  </w:abstractNum>
  <w:abstractNum w:abstractNumId="5" w15:restartNumberingAfterBreak="0">
    <w:nsid w:val="30387FAE"/>
    <w:multiLevelType w:val="singleLevel"/>
    <w:tmpl w:val="743CAB6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4E351392"/>
    <w:multiLevelType w:val="singleLevel"/>
    <w:tmpl w:val="EF5422DC"/>
    <w:lvl w:ilvl="0">
      <w:start w:val="3"/>
      <w:numFmt w:val="decimal"/>
      <w:lvlText w:val="(%1) "/>
      <w:lvlJc w:val="left"/>
      <w:pPr>
        <w:tabs>
          <w:tab w:val="num" w:pos="360"/>
        </w:tabs>
        <w:ind w:left="283" w:hanging="283"/>
      </w:pPr>
      <w:rPr>
        <w:rFonts w:ascii="Times New Roman" w:hAnsi="Times New Roman" w:hint="default"/>
        <w:b w:val="0"/>
        <w:i w:val="0"/>
        <w:sz w:val="24"/>
      </w:rPr>
    </w:lvl>
  </w:abstractNum>
  <w:abstractNum w:abstractNumId="7" w15:restartNumberingAfterBreak="0">
    <w:nsid w:val="53D71E58"/>
    <w:multiLevelType w:val="singleLevel"/>
    <w:tmpl w:val="6430F884"/>
    <w:lvl w:ilvl="0">
      <w:start w:val="3"/>
      <w:numFmt w:val="decimal"/>
      <w:lvlText w:val="(%1) "/>
      <w:lvlJc w:val="left"/>
      <w:pPr>
        <w:tabs>
          <w:tab w:val="num" w:pos="360"/>
        </w:tabs>
        <w:ind w:left="283" w:hanging="283"/>
      </w:pPr>
      <w:rPr>
        <w:rFonts w:ascii="Times New Roman" w:hAnsi="Times New Roman" w:hint="default"/>
        <w:b w:val="0"/>
        <w:i w:val="0"/>
        <w:sz w:val="24"/>
      </w:rPr>
    </w:lvl>
  </w:abstractNum>
  <w:abstractNum w:abstractNumId="8" w15:restartNumberingAfterBreak="0">
    <w:nsid w:val="5B7E474B"/>
    <w:multiLevelType w:val="multilevel"/>
    <w:tmpl w:val="AC9ED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86F32D0"/>
    <w:multiLevelType w:val="multilevel"/>
    <w:tmpl w:val="226C0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3C32A2"/>
    <w:multiLevelType w:val="singleLevel"/>
    <w:tmpl w:val="9626B6CE"/>
    <w:lvl w:ilvl="0">
      <w:start w:val="1"/>
      <w:numFmt w:val="decimal"/>
      <w:lvlText w:val="(%1)"/>
      <w:legacy w:legacy="1" w:legacySpace="0" w:legacyIndent="360"/>
      <w:lvlJc w:val="left"/>
      <w:pPr>
        <w:ind w:left="360" w:hanging="360"/>
      </w:pPr>
    </w:lvl>
  </w:abstractNum>
  <w:abstractNum w:abstractNumId="11" w15:restartNumberingAfterBreak="0">
    <w:nsid w:val="7F663786"/>
    <w:multiLevelType w:val="hybridMultilevel"/>
    <w:tmpl w:val="B01830F2"/>
    <w:lvl w:ilvl="0" w:tplc="F104C56A">
      <w:start w:val="1"/>
      <w:numFmt w:val="decimal"/>
      <w:lvlText w:val="(%1) "/>
      <w:lvlJc w:val="left"/>
      <w:pPr>
        <w:tabs>
          <w:tab w:val="num" w:pos="360"/>
        </w:tabs>
        <w:ind w:left="283" w:hanging="283"/>
      </w:pPr>
      <w:rPr>
        <w:rFonts w:ascii="Times New Roman" w:hAnsi="Times New Roman" w:hint="default"/>
        <w:b w:val="0"/>
        <w:i w:val="0"/>
        <w:sz w:val="24"/>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1"/>
  </w:num>
  <w:num w:numId="4">
    <w:abstractNumId w:val="6"/>
  </w:num>
  <w:num w:numId="5">
    <w:abstractNumId w:val="4"/>
  </w:num>
  <w:num w:numId="6">
    <w:abstractNumId w:val="10"/>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9"/>
    <w:rsid w:val="00000100"/>
    <w:rsid w:val="00001E16"/>
    <w:rsid w:val="00004A51"/>
    <w:rsid w:val="00011F84"/>
    <w:rsid w:val="0001218D"/>
    <w:rsid w:val="000138A4"/>
    <w:rsid w:val="0001476E"/>
    <w:rsid w:val="000169F7"/>
    <w:rsid w:val="00024A43"/>
    <w:rsid w:val="00025B96"/>
    <w:rsid w:val="0002726F"/>
    <w:rsid w:val="000304FB"/>
    <w:rsid w:val="00032BAD"/>
    <w:rsid w:val="00032CE3"/>
    <w:rsid w:val="00033CA2"/>
    <w:rsid w:val="00036DA8"/>
    <w:rsid w:val="000374A5"/>
    <w:rsid w:val="00037536"/>
    <w:rsid w:val="00037A89"/>
    <w:rsid w:val="000435CF"/>
    <w:rsid w:val="00045A36"/>
    <w:rsid w:val="00052421"/>
    <w:rsid w:val="00054D0D"/>
    <w:rsid w:val="00055664"/>
    <w:rsid w:val="00061F5A"/>
    <w:rsid w:val="00064518"/>
    <w:rsid w:val="0006714E"/>
    <w:rsid w:val="00074341"/>
    <w:rsid w:val="000753CA"/>
    <w:rsid w:val="000762FA"/>
    <w:rsid w:val="00077F91"/>
    <w:rsid w:val="00085732"/>
    <w:rsid w:val="00091D6A"/>
    <w:rsid w:val="000927E1"/>
    <w:rsid w:val="00096567"/>
    <w:rsid w:val="00097357"/>
    <w:rsid w:val="000A16A5"/>
    <w:rsid w:val="000A1A44"/>
    <w:rsid w:val="000A3A59"/>
    <w:rsid w:val="000B3223"/>
    <w:rsid w:val="000B65BD"/>
    <w:rsid w:val="000C12CF"/>
    <w:rsid w:val="000D528F"/>
    <w:rsid w:val="000D640A"/>
    <w:rsid w:val="000E0734"/>
    <w:rsid w:val="000E0A8F"/>
    <w:rsid w:val="000E0F76"/>
    <w:rsid w:val="000E3F9F"/>
    <w:rsid w:val="000E45BF"/>
    <w:rsid w:val="000E6190"/>
    <w:rsid w:val="000F3674"/>
    <w:rsid w:val="000F38BA"/>
    <w:rsid w:val="000F56B9"/>
    <w:rsid w:val="00101F3B"/>
    <w:rsid w:val="001038C3"/>
    <w:rsid w:val="00107C9C"/>
    <w:rsid w:val="00112794"/>
    <w:rsid w:val="00114134"/>
    <w:rsid w:val="0011430D"/>
    <w:rsid w:val="00115525"/>
    <w:rsid w:val="00123BB7"/>
    <w:rsid w:val="001270E2"/>
    <w:rsid w:val="00137642"/>
    <w:rsid w:val="001404B7"/>
    <w:rsid w:val="001405C9"/>
    <w:rsid w:val="00142A28"/>
    <w:rsid w:val="0014362B"/>
    <w:rsid w:val="001436EF"/>
    <w:rsid w:val="0014524E"/>
    <w:rsid w:val="00146051"/>
    <w:rsid w:val="001475D6"/>
    <w:rsid w:val="00150111"/>
    <w:rsid w:val="00152444"/>
    <w:rsid w:val="00152EE9"/>
    <w:rsid w:val="00153794"/>
    <w:rsid w:val="00154853"/>
    <w:rsid w:val="00155227"/>
    <w:rsid w:val="00166C64"/>
    <w:rsid w:val="00173A56"/>
    <w:rsid w:val="00173D3B"/>
    <w:rsid w:val="001759BE"/>
    <w:rsid w:val="00177607"/>
    <w:rsid w:val="00177FA7"/>
    <w:rsid w:val="0018167F"/>
    <w:rsid w:val="00184771"/>
    <w:rsid w:val="001858CC"/>
    <w:rsid w:val="001868CF"/>
    <w:rsid w:val="00187C79"/>
    <w:rsid w:val="0019163C"/>
    <w:rsid w:val="001917B0"/>
    <w:rsid w:val="00192685"/>
    <w:rsid w:val="00195920"/>
    <w:rsid w:val="001A650C"/>
    <w:rsid w:val="001A6C7A"/>
    <w:rsid w:val="001B0E12"/>
    <w:rsid w:val="001B274A"/>
    <w:rsid w:val="001B3E1D"/>
    <w:rsid w:val="001B46C6"/>
    <w:rsid w:val="001B67E6"/>
    <w:rsid w:val="001C140A"/>
    <w:rsid w:val="001C182B"/>
    <w:rsid w:val="001C4438"/>
    <w:rsid w:val="001C7EF7"/>
    <w:rsid w:val="001D0381"/>
    <w:rsid w:val="001D627F"/>
    <w:rsid w:val="001E2908"/>
    <w:rsid w:val="001E46C6"/>
    <w:rsid w:val="001E5FA0"/>
    <w:rsid w:val="001E6199"/>
    <w:rsid w:val="001F0B12"/>
    <w:rsid w:val="001F262C"/>
    <w:rsid w:val="001F298C"/>
    <w:rsid w:val="001F3BE2"/>
    <w:rsid w:val="001F55CF"/>
    <w:rsid w:val="001F5626"/>
    <w:rsid w:val="001F7816"/>
    <w:rsid w:val="0020024A"/>
    <w:rsid w:val="00203AB2"/>
    <w:rsid w:val="002044D4"/>
    <w:rsid w:val="00205E7C"/>
    <w:rsid w:val="0020670A"/>
    <w:rsid w:val="002122E7"/>
    <w:rsid w:val="00214CD5"/>
    <w:rsid w:val="002161D0"/>
    <w:rsid w:val="002161DD"/>
    <w:rsid w:val="002213D0"/>
    <w:rsid w:val="00222129"/>
    <w:rsid w:val="00223D63"/>
    <w:rsid w:val="00227081"/>
    <w:rsid w:val="0023059B"/>
    <w:rsid w:val="00232903"/>
    <w:rsid w:val="002342CC"/>
    <w:rsid w:val="00234716"/>
    <w:rsid w:val="00241948"/>
    <w:rsid w:val="00241F29"/>
    <w:rsid w:val="00253A9C"/>
    <w:rsid w:val="002558B7"/>
    <w:rsid w:val="002609A9"/>
    <w:rsid w:val="00263EBC"/>
    <w:rsid w:val="00265AC8"/>
    <w:rsid w:val="00271A06"/>
    <w:rsid w:val="00275BA0"/>
    <w:rsid w:val="00276BA5"/>
    <w:rsid w:val="0027717A"/>
    <w:rsid w:val="00277EBE"/>
    <w:rsid w:val="00281619"/>
    <w:rsid w:val="002818DB"/>
    <w:rsid w:val="00281C92"/>
    <w:rsid w:val="002830F8"/>
    <w:rsid w:val="00294081"/>
    <w:rsid w:val="00295490"/>
    <w:rsid w:val="00297CC4"/>
    <w:rsid w:val="002A1787"/>
    <w:rsid w:val="002A1B23"/>
    <w:rsid w:val="002A3C39"/>
    <w:rsid w:val="002A4388"/>
    <w:rsid w:val="002A60BD"/>
    <w:rsid w:val="002A7C1F"/>
    <w:rsid w:val="002B3F01"/>
    <w:rsid w:val="002B4BF9"/>
    <w:rsid w:val="002B50A8"/>
    <w:rsid w:val="002B524A"/>
    <w:rsid w:val="002B6086"/>
    <w:rsid w:val="002B6CE2"/>
    <w:rsid w:val="002D2C07"/>
    <w:rsid w:val="002D4ADC"/>
    <w:rsid w:val="002D5BD5"/>
    <w:rsid w:val="002D7E40"/>
    <w:rsid w:val="002E22F6"/>
    <w:rsid w:val="002E2FFC"/>
    <w:rsid w:val="002E797B"/>
    <w:rsid w:val="002F1937"/>
    <w:rsid w:val="002F3EE6"/>
    <w:rsid w:val="002F7A60"/>
    <w:rsid w:val="002F7D26"/>
    <w:rsid w:val="0030229A"/>
    <w:rsid w:val="00302CA5"/>
    <w:rsid w:val="003124DA"/>
    <w:rsid w:val="003151E3"/>
    <w:rsid w:val="00316D42"/>
    <w:rsid w:val="00317836"/>
    <w:rsid w:val="003305F9"/>
    <w:rsid w:val="0033617F"/>
    <w:rsid w:val="003423A0"/>
    <w:rsid w:val="00343C1F"/>
    <w:rsid w:val="003460BA"/>
    <w:rsid w:val="00347FB5"/>
    <w:rsid w:val="003511CC"/>
    <w:rsid w:val="0035154E"/>
    <w:rsid w:val="00356786"/>
    <w:rsid w:val="003626F6"/>
    <w:rsid w:val="00364EF0"/>
    <w:rsid w:val="00367175"/>
    <w:rsid w:val="00371586"/>
    <w:rsid w:val="00371D70"/>
    <w:rsid w:val="003743D4"/>
    <w:rsid w:val="003749D2"/>
    <w:rsid w:val="003759B7"/>
    <w:rsid w:val="003808E3"/>
    <w:rsid w:val="003814A9"/>
    <w:rsid w:val="00385EE2"/>
    <w:rsid w:val="00391E8B"/>
    <w:rsid w:val="00392615"/>
    <w:rsid w:val="00392CB5"/>
    <w:rsid w:val="00393AE8"/>
    <w:rsid w:val="0039604F"/>
    <w:rsid w:val="00397A6C"/>
    <w:rsid w:val="003A4DCC"/>
    <w:rsid w:val="003A643E"/>
    <w:rsid w:val="003A709D"/>
    <w:rsid w:val="003B66B4"/>
    <w:rsid w:val="003C32F7"/>
    <w:rsid w:val="003C3CF3"/>
    <w:rsid w:val="003D598F"/>
    <w:rsid w:val="003E2341"/>
    <w:rsid w:val="003E3210"/>
    <w:rsid w:val="003E48EC"/>
    <w:rsid w:val="003F1CA8"/>
    <w:rsid w:val="003F1F7A"/>
    <w:rsid w:val="003F2D5C"/>
    <w:rsid w:val="003F3966"/>
    <w:rsid w:val="003F412F"/>
    <w:rsid w:val="003F5E29"/>
    <w:rsid w:val="003F75CF"/>
    <w:rsid w:val="003F7F8F"/>
    <w:rsid w:val="0040035E"/>
    <w:rsid w:val="00403588"/>
    <w:rsid w:val="00411DCF"/>
    <w:rsid w:val="00412B2E"/>
    <w:rsid w:val="00412B52"/>
    <w:rsid w:val="00415749"/>
    <w:rsid w:val="0041794D"/>
    <w:rsid w:val="004216C2"/>
    <w:rsid w:val="00424379"/>
    <w:rsid w:val="00430C78"/>
    <w:rsid w:val="00431894"/>
    <w:rsid w:val="00432736"/>
    <w:rsid w:val="00433F32"/>
    <w:rsid w:val="00440C0C"/>
    <w:rsid w:val="00442274"/>
    <w:rsid w:val="0044491B"/>
    <w:rsid w:val="00450828"/>
    <w:rsid w:val="0045313E"/>
    <w:rsid w:val="00453437"/>
    <w:rsid w:val="0045687B"/>
    <w:rsid w:val="00460037"/>
    <w:rsid w:val="00460465"/>
    <w:rsid w:val="00461B52"/>
    <w:rsid w:val="00463894"/>
    <w:rsid w:val="00464AE3"/>
    <w:rsid w:val="004677BD"/>
    <w:rsid w:val="00471CF1"/>
    <w:rsid w:val="00472A5E"/>
    <w:rsid w:val="00472B2F"/>
    <w:rsid w:val="00476A15"/>
    <w:rsid w:val="0048250D"/>
    <w:rsid w:val="00484FA9"/>
    <w:rsid w:val="004854D1"/>
    <w:rsid w:val="004860C5"/>
    <w:rsid w:val="00487288"/>
    <w:rsid w:val="00495F91"/>
    <w:rsid w:val="0049782C"/>
    <w:rsid w:val="004A0B07"/>
    <w:rsid w:val="004B26EC"/>
    <w:rsid w:val="004B2B95"/>
    <w:rsid w:val="004B5567"/>
    <w:rsid w:val="004C6D94"/>
    <w:rsid w:val="004D122E"/>
    <w:rsid w:val="004D2C2D"/>
    <w:rsid w:val="004D5576"/>
    <w:rsid w:val="004D63ED"/>
    <w:rsid w:val="004D791C"/>
    <w:rsid w:val="004E43A1"/>
    <w:rsid w:val="004E4651"/>
    <w:rsid w:val="004E4D4D"/>
    <w:rsid w:val="004E4E81"/>
    <w:rsid w:val="004E6AD7"/>
    <w:rsid w:val="004F0B17"/>
    <w:rsid w:val="004F2C76"/>
    <w:rsid w:val="004F2F83"/>
    <w:rsid w:val="004F4E70"/>
    <w:rsid w:val="004F700D"/>
    <w:rsid w:val="004F7772"/>
    <w:rsid w:val="005009B3"/>
    <w:rsid w:val="00504F98"/>
    <w:rsid w:val="005064F7"/>
    <w:rsid w:val="00516F1C"/>
    <w:rsid w:val="005241A5"/>
    <w:rsid w:val="005251F3"/>
    <w:rsid w:val="00526152"/>
    <w:rsid w:val="00530A17"/>
    <w:rsid w:val="0053382F"/>
    <w:rsid w:val="0053579F"/>
    <w:rsid w:val="00535F66"/>
    <w:rsid w:val="00547B7F"/>
    <w:rsid w:val="00553D8E"/>
    <w:rsid w:val="00553DD8"/>
    <w:rsid w:val="00553FEC"/>
    <w:rsid w:val="00562BE3"/>
    <w:rsid w:val="00570515"/>
    <w:rsid w:val="00581A3C"/>
    <w:rsid w:val="00582C0E"/>
    <w:rsid w:val="005845A6"/>
    <w:rsid w:val="00585349"/>
    <w:rsid w:val="00590B24"/>
    <w:rsid w:val="00590D0B"/>
    <w:rsid w:val="00593AC3"/>
    <w:rsid w:val="0059631D"/>
    <w:rsid w:val="005964C2"/>
    <w:rsid w:val="00597208"/>
    <w:rsid w:val="00597361"/>
    <w:rsid w:val="00597857"/>
    <w:rsid w:val="005A1826"/>
    <w:rsid w:val="005B047D"/>
    <w:rsid w:val="005B0A71"/>
    <w:rsid w:val="005B21C4"/>
    <w:rsid w:val="005C0152"/>
    <w:rsid w:val="005C028A"/>
    <w:rsid w:val="005C4C5C"/>
    <w:rsid w:val="005D17AE"/>
    <w:rsid w:val="005E19C6"/>
    <w:rsid w:val="005E2771"/>
    <w:rsid w:val="005E2E03"/>
    <w:rsid w:val="005E383A"/>
    <w:rsid w:val="005E45AE"/>
    <w:rsid w:val="005E468E"/>
    <w:rsid w:val="005E7D13"/>
    <w:rsid w:val="0060306D"/>
    <w:rsid w:val="006044F0"/>
    <w:rsid w:val="006051EA"/>
    <w:rsid w:val="0060780A"/>
    <w:rsid w:val="00610155"/>
    <w:rsid w:val="00610EB0"/>
    <w:rsid w:val="00612DD7"/>
    <w:rsid w:val="00613879"/>
    <w:rsid w:val="00613DDB"/>
    <w:rsid w:val="0061420D"/>
    <w:rsid w:val="00614340"/>
    <w:rsid w:val="006165B2"/>
    <w:rsid w:val="006203EE"/>
    <w:rsid w:val="00620F00"/>
    <w:rsid w:val="0062444A"/>
    <w:rsid w:val="00625459"/>
    <w:rsid w:val="00625AF2"/>
    <w:rsid w:val="0062754A"/>
    <w:rsid w:val="00630D79"/>
    <w:rsid w:val="00631B4D"/>
    <w:rsid w:val="00634A4D"/>
    <w:rsid w:val="006359AA"/>
    <w:rsid w:val="00635B76"/>
    <w:rsid w:val="00643984"/>
    <w:rsid w:val="006462BE"/>
    <w:rsid w:val="00647F54"/>
    <w:rsid w:val="006518E2"/>
    <w:rsid w:val="00654B76"/>
    <w:rsid w:val="00665851"/>
    <w:rsid w:val="0066697A"/>
    <w:rsid w:val="00670F6D"/>
    <w:rsid w:val="00673F2F"/>
    <w:rsid w:val="006743B4"/>
    <w:rsid w:val="00676544"/>
    <w:rsid w:val="00677425"/>
    <w:rsid w:val="006816ED"/>
    <w:rsid w:val="006817E4"/>
    <w:rsid w:val="00681C04"/>
    <w:rsid w:val="00684420"/>
    <w:rsid w:val="00685442"/>
    <w:rsid w:val="0068666C"/>
    <w:rsid w:val="00690478"/>
    <w:rsid w:val="00697711"/>
    <w:rsid w:val="006A3546"/>
    <w:rsid w:val="006A6421"/>
    <w:rsid w:val="006B002A"/>
    <w:rsid w:val="006B44CB"/>
    <w:rsid w:val="006B5EE7"/>
    <w:rsid w:val="006B6610"/>
    <w:rsid w:val="006B6C39"/>
    <w:rsid w:val="006C2BA9"/>
    <w:rsid w:val="006C3CAD"/>
    <w:rsid w:val="006C49C5"/>
    <w:rsid w:val="006D1A08"/>
    <w:rsid w:val="006D6D75"/>
    <w:rsid w:val="006D701E"/>
    <w:rsid w:val="006E5426"/>
    <w:rsid w:val="006E5828"/>
    <w:rsid w:val="006E7C23"/>
    <w:rsid w:val="006F1F38"/>
    <w:rsid w:val="006F4F2F"/>
    <w:rsid w:val="006F7CF2"/>
    <w:rsid w:val="00702CC0"/>
    <w:rsid w:val="0070395A"/>
    <w:rsid w:val="00703C9B"/>
    <w:rsid w:val="00707CA7"/>
    <w:rsid w:val="007108AB"/>
    <w:rsid w:val="007154ED"/>
    <w:rsid w:val="0071593F"/>
    <w:rsid w:val="0072323C"/>
    <w:rsid w:val="00723837"/>
    <w:rsid w:val="00726A07"/>
    <w:rsid w:val="00730FF6"/>
    <w:rsid w:val="00735197"/>
    <w:rsid w:val="00737B96"/>
    <w:rsid w:val="00744199"/>
    <w:rsid w:val="007467AF"/>
    <w:rsid w:val="007528B4"/>
    <w:rsid w:val="00754770"/>
    <w:rsid w:val="00756209"/>
    <w:rsid w:val="007563BC"/>
    <w:rsid w:val="00762A3A"/>
    <w:rsid w:val="007640E7"/>
    <w:rsid w:val="00764810"/>
    <w:rsid w:val="007700E7"/>
    <w:rsid w:val="00773F87"/>
    <w:rsid w:val="007773F5"/>
    <w:rsid w:val="00780E22"/>
    <w:rsid w:val="007826F6"/>
    <w:rsid w:val="007874FB"/>
    <w:rsid w:val="00795F77"/>
    <w:rsid w:val="00796557"/>
    <w:rsid w:val="00797DAC"/>
    <w:rsid w:val="007A7FA8"/>
    <w:rsid w:val="007B1F99"/>
    <w:rsid w:val="007B2084"/>
    <w:rsid w:val="007B227F"/>
    <w:rsid w:val="007B23AC"/>
    <w:rsid w:val="007B7945"/>
    <w:rsid w:val="007C0D4F"/>
    <w:rsid w:val="007C13ED"/>
    <w:rsid w:val="007C2566"/>
    <w:rsid w:val="007C2B65"/>
    <w:rsid w:val="007C35D8"/>
    <w:rsid w:val="007C368B"/>
    <w:rsid w:val="007C3C4A"/>
    <w:rsid w:val="007C6045"/>
    <w:rsid w:val="007C6864"/>
    <w:rsid w:val="007D30C9"/>
    <w:rsid w:val="007D36D1"/>
    <w:rsid w:val="007E3B31"/>
    <w:rsid w:val="007E5B68"/>
    <w:rsid w:val="007F089B"/>
    <w:rsid w:val="007F1954"/>
    <w:rsid w:val="007F2A2B"/>
    <w:rsid w:val="007F4E81"/>
    <w:rsid w:val="007F7CD8"/>
    <w:rsid w:val="007F7DA4"/>
    <w:rsid w:val="008013E6"/>
    <w:rsid w:val="008065ED"/>
    <w:rsid w:val="00806CD8"/>
    <w:rsid w:val="00807425"/>
    <w:rsid w:val="00810513"/>
    <w:rsid w:val="008118B9"/>
    <w:rsid w:val="00811F4E"/>
    <w:rsid w:val="00817D88"/>
    <w:rsid w:val="0082023B"/>
    <w:rsid w:val="00820A25"/>
    <w:rsid w:val="00823017"/>
    <w:rsid w:val="00823E6F"/>
    <w:rsid w:val="00826CAA"/>
    <w:rsid w:val="00827433"/>
    <w:rsid w:val="00827679"/>
    <w:rsid w:val="0083056B"/>
    <w:rsid w:val="00833262"/>
    <w:rsid w:val="00841349"/>
    <w:rsid w:val="00842363"/>
    <w:rsid w:val="008442B0"/>
    <w:rsid w:val="00847C0F"/>
    <w:rsid w:val="0085067D"/>
    <w:rsid w:val="00851CF3"/>
    <w:rsid w:val="00854372"/>
    <w:rsid w:val="00856DE8"/>
    <w:rsid w:val="0086110D"/>
    <w:rsid w:val="0086190C"/>
    <w:rsid w:val="00862AAB"/>
    <w:rsid w:val="00863B58"/>
    <w:rsid w:val="00867A40"/>
    <w:rsid w:val="008733FC"/>
    <w:rsid w:val="00874908"/>
    <w:rsid w:val="00880C69"/>
    <w:rsid w:val="008818AE"/>
    <w:rsid w:val="008853AB"/>
    <w:rsid w:val="00891061"/>
    <w:rsid w:val="00893F50"/>
    <w:rsid w:val="0089714F"/>
    <w:rsid w:val="008A2921"/>
    <w:rsid w:val="008A548E"/>
    <w:rsid w:val="008A5C44"/>
    <w:rsid w:val="008A7715"/>
    <w:rsid w:val="008A797D"/>
    <w:rsid w:val="008B0F6D"/>
    <w:rsid w:val="008B3408"/>
    <w:rsid w:val="008C1156"/>
    <w:rsid w:val="008C369D"/>
    <w:rsid w:val="008C4849"/>
    <w:rsid w:val="008C5425"/>
    <w:rsid w:val="008C633B"/>
    <w:rsid w:val="008C7EF7"/>
    <w:rsid w:val="008D1E71"/>
    <w:rsid w:val="008D2474"/>
    <w:rsid w:val="008D4960"/>
    <w:rsid w:val="008D56F3"/>
    <w:rsid w:val="008D6BFA"/>
    <w:rsid w:val="008D6FE1"/>
    <w:rsid w:val="008E004C"/>
    <w:rsid w:val="008E2024"/>
    <w:rsid w:val="008E4734"/>
    <w:rsid w:val="008F2340"/>
    <w:rsid w:val="008F5084"/>
    <w:rsid w:val="008F7940"/>
    <w:rsid w:val="0090121C"/>
    <w:rsid w:val="00901812"/>
    <w:rsid w:val="00903C64"/>
    <w:rsid w:val="00905A37"/>
    <w:rsid w:val="0091004D"/>
    <w:rsid w:val="00911099"/>
    <w:rsid w:val="00911177"/>
    <w:rsid w:val="0091528C"/>
    <w:rsid w:val="00916152"/>
    <w:rsid w:val="009206C9"/>
    <w:rsid w:val="00923CE9"/>
    <w:rsid w:val="009240EB"/>
    <w:rsid w:val="00927140"/>
    <w:rsid w:val="0093202C"/>
    <w:rsid w:val="009326A5"/>
    <w:rsid w:val="00932F90"/>
    <w:rsid w:val="00933AC1"/>
    <w:rsid w:val="0093644F"/>
    <w:rsid w:val="009365D5"/>
    <w:rsid w:val="009471D8"/>
    <w:rsid w:val="0094743E"/>
    <w:rsid w:val="00953724"/>
    <w:rsid w:val="0096021A"/>
    <w:rsid w:val="009615A9"/>
    <w:rsid w:val="00961653"/>
    <w:rsid w:val="00963867"/>
    <w:rsid w:val="00964743"/>
    <w:rsid w:val="00965319"/>
    <w:rsid w:val="00967193"/>
    <w:rsid w:val="00972705"/>
    <w:rsid w:val="00980F49"/>
    <w:rsid w:val="009812A6"/>
    <w:rsid w:val="00981B49"/>
    <w:rsid w:val="00982C28"/>
    <w:rsid w:val="00984A1B"/>
    <w:rsid w:val="009859C8"/>
    <w:rsid w:val="0098656C"/>
    <w:rsid w:val="00990112"/>
    <w:rsid w:val="00990A4C"/>
    <w:rsid w:val="00995C4F"/>
    <w:rsid w:val="00995EA6"/>
    <w:rsid w:val="00996055"/>
    <w:rsid w:val="0099701A"/>
    <w:rsid w:val="009A1249"/>
    <w:rsid w:val="009A19AA"/>
    <w:rsid w:val="009A30B9"/>
    <w:rsid w:val="009A62E5"/>
    <w:rsid w:val="009A6E20"/>
    <w:rsid w:val="009B2D25"/>
    <w:rsid w:val="009B5AE6"/>
    <w:rsid w:val="009B73B9"/>
    <w:rsid w:val="009C22CD"/>
    <w:rsid w:val="009C2B0D"/>
    <w:rsid w:val="009C67D8"/>
    <w:rsid w:val="009C6E1A"/>
    <w:rsid w:val="009D098B"/>
    <w:rsid w:val="009D15C5"/>
    <w:rsid w:val="009D3155"/>
    <w:rsid w:val="009D367D"/>
    <w:rsid w:val="009D7C5F"/>
    <w:rsid w:val="009D7F33"/>
    <w:rsid w:val="009E0C41"/>
    <w:rsid w:val="009E5A97"/>
    <w:rsid w:val="009E7438"/>
    <w:rsid w:val="009F0FF0"/>
    <w:rsid w:val="009F37E7"/>
    <w:rsid w:val="009F4C57"/>
    <w:rsid w:val="00A057D4"/>
    <w:rsid w:val="00A05AA2"/>
    <w:rsid w:val="00A06696"/>
    <w:rsid w:val="00A15545"/>
    <w:rsid w:val="00A16FB0"/>
    <w:rsid w:val="00A173D4"/>
    <w:rsid w:val="00A1767B"/>
    <w:rsid w:val="00A22A20"/>
    <w:rsid w:val="00A22F2B"/>
    <w:rsid w:val="00A259A5"/>
    <w:rsid w:val="00A265E6"/>
    <w:rsid w:val="00A34083"/>
    <w:rsid w:val="00A34F73"/>
    <w:rsid w:val="00A353DB"/>
    <w:rsid w:val="00A35895"/>
    <w:rsid w:val="00A36F5C"/>
    <w:rsid w:val="00A378C7"/>
    <w:rsid w:val="00A37A85"/>
    <w:rsid w:val="00A40830"/>
    <w:rsid w:val="00A41BAF"/>
    <w:rsid w:val="00A42290"/>
    <w:rsid w:val="00A43FF7"/>
    <w:rsid w:val="00A447DA"/>
    <w:rsid w:val="00A4506C"/>
    <w:rsid w:val="00A46665"/>
    <w:rsid w:val="00A541A9"/>
    <w:rsid w:val="00A54A06"/>
    <w:rsid w:val="00A57D6D"/>
    <w:rsid w:val="00A60AFA"/>
    <w:rsid w:val="00A64C22"/>
    <w:rsid w:val="00A651C5"/>
    <w:rsid w:val="00A702DA"/>
    <w:rsid w:val="00A74252"/>
    <w:rsid w:val="00A818DB"/>
    <w:rsid w:val="00A83B6B"/>
    <w:rsid w:val="00A84ECB"/>
    <w:rsid w:val="00A86857"/>
    <w:rsid w:val="00A94542"/>
    <w:rsid w:val="00AA34F9"/>
    <w:rsid w:val="00AA7B7B"/>
    <w:rsid w:val="00AB43E6"/>
    <w:rsid w:val="00AB6114"/>
    <w:rsid w:val="00AC18F0"/>
    <w:rsid w:val="00AC41BD"/>
    <w:rsid w:val="00AC44CB"/>
    <w:rsid w:val="00AC78F7"/>
    <w:rsid w:val="00AE147B"/>
    <w:rsid w:val="00AE2B09"/>
    <w:rsid w:val="00AE3BF3"/>
    <w:rsid w:val="00AE4FEE"/>
    <w:rsid w:val="00AE5856"/>
    <w:rsid w:val="00AF0598"/>
    <w:rsid w:val="00AF0DF0"/>
    <w:rsid w:val="00AF1289"/>
    <w:rsid w:val="00AF19DC"/>
    <w:rsid w:val="00AF3044"/>
    <w:rsid w:val="00AF38A3"/>
    <w:rsid w:val="00AF50C0"/>
    <w:rsid w:val="00B00360"/>
    <w:rsid w:val="00B021E2"/>
    <w:rsid w:val="00B03DA3"/>
    <w:rsid w:val="00B05EB5"/>
    <w:rsid w:val="00B124C6"/>
    <w:rsid w:val="00B12F77"/>
    <w:rsid w:val="00B133D4"/>
    <w:rsid w:val="00B172B8"/>
    <w:rsid w:val="00B24C01"/>
    <w:rsid w:val="00B276AB"/>
    <w:rsid w:val="00B34CF9"/>
    <w:rsid w:val="00B3566C"/>
    <w:rsid w:val="00B45252"/>
    <w:rsid w:val="00B57DB7"/>
    <w:rsid w:val="00B61CCD"/>
    <w:rsid w:val="00B62060"/>
    <w:rsid w:val="00B66DE9"/>
    <w:rsid w:val="00B66FA6"/>
    <w:rsid w:val="00B67863"/>
    <w:rsid w:val="00B70D0C"/>
    <w:rsid w:val="00B74A6F"/>
    <w:rsid w:val="00B7596E"/>
    <w:rsid w:val="00B767FC"/>
    <w:rsid w:val="00B768D8"/>
    <w:rsid w:val="00B77BD2"/>
    <w:rsid w:val="00B80A7C"/>
    <w:rsid w:val="00B9122F"/>
    <w:rsid w:val="00B913D5"/>
    <w:rsid w:val="00B919CF"/>
    <w:rsid w:val="00B928E0"/>
    <w:rsid w:val="00B92CCD"/>
    <w:rsid w:val="00B93E12"/>
    <w:rsid w:val="00BA09A9"/>
    <w:rsid w:val="00BA262D"/>
    <w:rsid w:val="00BA5D41"/>
    <w:rsid w:val="00BB14ED"/>
    <w:rsid w:val="00BB314E"/>
    <w:rsid w:val="00BC0CBE"/>
    <w:rsid w:val="00BD0058"/>
    <w:rsid w:val="00BD1F4C"/>
    <w:rsid w:val="00BD689D"/>
    <w:rsid w:val="00BE36FF"/>
    <w:rsid w:val="00BE3763"/>
    <w:rsid w:val="00BE4615"/>
    <w:rsid w:val="00BE663E"/>
    <w:rsid w:val="00BE74F5"/>
    <w:rsid w:val="00BE7EF5"/>
    <w:rsid w:val="00BF096A"/>
    <w:rsid w:val="00BF2702"/>
    <w:rsid w:val="00BF743F"/>
    <w:rsid w:val="00BF7848"/>
    <w:rsid w:val="00C01299"/>
    <w:rsid w:val="00C03C9E"/>
    <w:rsid w:val="00C15DBF"/>
    <w:rsid w:val="00C16ED5"/>
    <w:rsid w:val="00C20387"/>
    <w:rsid w:val="00C20BE2"/>
    <w:rsid w:val="00C2291F"/>
    <w:rsid w:val="00C23C30"/>
    <w:rsid w:val="00C31F40"/>
    <w:rsid w:val="00C3345C"/>
    <w:rsid w:val="00C4446F"/>
    <w:rsid w:val="00C47B2F"/>
    <w:rsid w:val="00C50076"/>
    <w:rsid w:val="00C5522D"/>
    <w:rsid w:val="00C61E22"/>
    <w:rsid w:val="00C62D64"/>
    <w:rsid w:val="00C62EF0"/>
    <w:rsid w:val="00C62F64"/>
    <w:rsid w:val="00C67DCE"/>
    <w:rsid w:val="00C72F5F"/>
    <w:rsid w:val="00C75856"/>
    <w:rsid w:val="00C800FD"/>
    <w:rsid w:val="00C816A3"/>
    <w:rsid w:val="00C819DE"/>
    <w:rsid w:val="00C8204F"/>
    <w:rsid w:val="00C86BF6"/>
    <w:rsid w:val="00C92DEB"/>
    <w:rsid w:val="00CA05A8"/>
    <w:rsid w:val="00CA0B02"/>
    <w:rsid w:val="00CA10E7"/>
    <w:rsid w:val="00CA27C6"/>
    <w:rsid w:val="00CA2BA5"/>
    <w:rsid w:val="00CA3766"/>
    <w:rsid w:val="00CA3F53"/>
    <w:rsid w:val="00CA4A55"/>
    <w:rsid w:val="00CA4DD8"/>
    <w:rsid w:val="00CB0207"/>
    <w:rsid w:val="00CB364F"/>
    <w:rsid w:val="00CB3EBF"/>
    <w:rsid w:val="00CC0E8D"/>
    <w:rsid w:val="00CC33FA"/>
    <w:rsid w:val="00CC3718"/>
    <w:rsid w:val="00CC4B5A"/>
    <w:rsid w:val="00CC5BDB"/>
    <w:rsid w:val="00CC65EA"/>
    <w:rsid w:val="00CD1307"/>
    <w:rsid w:val="00CD1D03"/>
    <w:rsid w:val="00CD2B4D"/>
    <w:rsid w:val="00CD30EC"/>
    <w:rsid w:val="00CD79BE"/>
    <w:rsid w:val="00CE1232"/>
    <w:rsid w:val="00CE1AF0"/>
    <w:rsid w:val="00CE543B"/>
    <w:rsid w:val="00CE630B"/>
    <w:rsid w:val="00CE6C66"/>
    <w:rsid w:val="00CF0728"/>
    <w:rsid w:val="00CF1EA0"/>
    <w:rsid w:val="00CF1FDD"/>
    <w:rsid w:val="00CF38D1"/>
    <w:rsid w:val="00D04497"/>
    <w:rsid w:val="00D06EE5"/>
    <w:rsid w:val="00D07C52"/>
    <w:rsid w:val="00D17DFF"/>
    <w:rsid w:val="00D20298"/>
    <w:rsid w:val="00D225F6"/>
    <w:rsid w:val="00D23D34"/>
    <w:rsid w:val="00D276E5"/>
    <w:rsid w:val="00D27845"/>
    <w:rsid w:val="00D31756"/>
    <w:rsid w:val="00D32520"/>
    <w:rsid w:val="00D33193"/>
    <w:rsid w:val="00D36392"/>
    <w:rsid w:val="00D375ED"/>
    <w:rsid w:val="00D37F23"/>
    <w:rsid w:val="00D41E47"/>
    <w:rsid w:val="00D43258"/>
    <w:rsid w:val="00D43AD5"/>
    <w:rsid w:val="00D45A31"/>
    <w:rsid w:val="00D471F7"/>
    <w:rsid w:val="00D5399D"/>
    <w:rsid w:val="00D551C5"/>
    <w:rsid w:val="00D55945"/>
    <w:rsid w:val="00D579E7"/>
    <w:rsid w:val="00D625FE"/>
    <w:rsid w:val="00D62972"/>
    <w:rsid w:val="00D62A3B"/>
    <w:rsid w:val="00D657CF"/>
    <w:rsid w:val="00D71AB0"/>
    <w:rsid w:val="00D71AB4"/>
    <w:rsid w:val="00D71FAA"/>
    <w:rsid w:val="00D72F25"/>
    <w:rsid w:val="00D73103"/>
    <w:rsid w:val="00D737E6"/>
    <w:rsid w:val="00D73B17"/>
    <w:rsid w:val="00D74DEE"/>
    <w:rsid w:val="00D80657"/>
    <w:rsid w:val="00D83B44"/>
    <w:rsid w:val="00D83F27"/>
    <w:rsid w:val="00D90106"/>
    <w:rsid w:val="00D935D6"/>
    <w:rsid w:val="00D9490B"/>
    <w:rsid w:val="00D9624D"/>
    <w:rsid w:val="00D97275"/>
    <w:rsid w:val="00DA0BEF"/>
    <w:rsid w:val="00DA2A71"/>
    <w:rsid w:val="00DA4083"/>
    <w:rsid w:val="00DA5417"/>
    <w:rsid w:val="00DB1764"/>
    <w:rsid w:val="00DB558C"/>
    <w:rsid w:val="00DC1E4C"/>
    <w:rsid w:val="00DC2E6B"/>
    <w:rsid w:val="00DC6AF4"/>
    <w:rsid w:val="00DD099D"/>
    <w:rsid w:val="00DD09F4"/>
    <w:rsid w:val="00DD577E"/>
    <w:rsid w:val="00DE00C2"/>
    <w:rsid w:val="00DE2F52"/>
    <w:rsid w:val="00DE6AEF"/>
    <w:rsid w:val="00DE70E4"/>
    <w:rsid w:val="00DF0ADA"/>
    <w:rsid w:val="00DF165D"/>
    <w:rsid w:val="00DF2408"/>
    <w:rsid w:val="00DF69D1"/>
    <w:rsid w:val="00DF69FA"/>
    <w:rsid w:val="00DF6C86"/>
    <w:rsid w:val="00E02398"/>
    <w:rsid w:val="00E03285"/>
    <w:rsid w:val="00E058CF"/>
    <w:rsid w:val="00E05A27"/>
    <w:rsid w:val="00E07FF9"/>
    <w:rsid w:val="00E101A9"/>
    <w:rsid w:val="00E14D57"/>
    <w:rsid w:val="00E20213"/>
    <w:rsid w:val="00E21A9D"/>
    <w:rsid w:val="00E243F1"/>
    <w:rsid w:val="00E26C9F"/>
    <w:rsid w:val="00E4703B"/>
    <w:rsid w:val="00E479CB"/>
    <w:rsid w:val="00E508FF"/>
    <w:rsid w:val="00E50A7C"/>
    <w:rsid w:val="00E528D8"/>
    <w:rsid w:val="00E52E32"/>
    <w:rsid w:val="00E53680"/>
    <w:rsid w:val="00E539F5"/>
    <w:rsid w:val="00E56514"/>
    <w:rsid w:val="00E60D38"/>
    <w:rsid w:val="00E61608"/>
    <w:rsid w:val="00E61661"/>
    <w:rsid w:val="00E65658"/>
    <w:rsid w:val="00E716DF"/>
    <w:rsid w:val="00E72A83"/>
    <w:rsid w:val="00E731A9"/>
    <w:rsid w:val="00E8141C"/>
    <w:rsid w:val="00E842F7"/>
    <w:rsid w:val="00E85338"/>
    <w:rsid w:val="00E86FFE"/>
    <w:rsid w:val="00EA3AF6"/>
    <w:rsid w:val="00EA45CA"/>
    <w:rsid w:val="00EA4E34"/>
    <w:rsid w:val="00EA5720"/>
    <w:rsid w:val="00EA7251"/>
    <w:rsid w:val="00EA7451"/>
    <w:rsid w:val="00EB35FF"/>
    <w:rsid w:val="00EC2A33"/>
    <w:rsid w:val="00EC61A8"/>
    <w:rsid w:val="00ED0EF3"/>
    <w:rsid w:val="00ED276D"/>
    <w:rsid w:val="00ED2D93"/>
    <w:rsid w:val="00ED4DCF"/>
    <w:rsid w:val="00ED5105"/>
    <w:rsid w:val="00ED5194"/>
    <w:rsid w:val="00ED7D17"/>
    <w:rsid w:val="00EE2CFA"/>
    <w:rsid w:val="00EE2F5B"/>
    <w:rsid w:val="00EE3D50"/>
    <w:rsid w:val="00EE4409"/>
    <w:rsid w:val="00EE44A7"/>
    <w:rsid w:val="00EE4CD3"/>
    <w:rsid w:val="00EE781C"/>
    <w:rsid w:val="00EF0BDA"/>
    <w:rsid w:val="00EF19AB"/>
    <w:rsid w:val="00EF3067"/>
    <w:rsid w:val="00EF3302"/>
    <w:rsid w:val="00EF400D"/>
    <w:rsid w:val="00EF43F4"/>
    <w:rsid w:val="00EF4482"/>
    <w:rsid w:val="00EF55E9"/>
    <w:rsid w:val="00EF70E2"/>
    <w:rsid w:val="00F023DE"/>
    <w:rsid w:val="00F02C41"/>
    <w:rsid w:val="00F04401"/>
    <w:rsid w:val="00F055CE"/>
    <w:rsid w:val="00F10D55"/>
    <w:rsid w:val="00F14C57"/>
    <w:rsid w:val="00F16ACC"/>
    <w:rsid w:val="00F21824"/>
    <w:rsid w:val="00F218FF"/>
    <w:rsid w:val="00F21B3E"/>
    <w:rsid w:val="00F23467"/>
    <w:rsid w:val="00F24A76"/>
    <w:rsid w:val="00F24DE9"/>
    <w:rsid w:val="00F26167"/>
    <w:rsid w:val="00F27A83"/>
    <w:rsid w:val="00F32A23"/>
    <w:rsid w:val="00F33486"/>
    <w:rsid w:val="00F41ECA"/>
    <w:rsid w:val="00F42603"/>
    <w:rsid w:val="00F4324A"/>
    <w:rsid w:val="00F43BE6"/>
    <w:rsid w:val="00F4411B"/>
    <w:rsid w:val="00F44797"/>
    <w:rsid w:val="00F47075"/>
    <w:rsid w:val="00F517F8"/>
    <w:rsid w:val="00F52976"/>
    <w:rsid w:val="00F52F46"/>
    <w:rsid w:val="00F5392F"/>
    <w:rsid w:val="00F5493A"/>
    <w:rsid w:val="00F5594A"/>
    <w:rsid w:val="00F6075F"/>
    <w:rsid w:val="00F60CF1"/>
    <w:rsid w:val="00F61A1A"/>
    <w:rsid w:val="00F63DD1"/>
    <w:rsid w:val="00F72F93"/>
    <w:rsid w:val="00F73EB3"/>
    <w:rsid w:val="00F75443"/>
    <w:rsid w:val="00F76F0F"/>
    <w:rsid w:val="00F83513"/>
    <w:rsid w:val="00F8402A"/>
    <w:rsid w:val="00F84AF9"/>
    <w:rsid w:val="00F855AC"/>
    <w:rsid w:val="00F86673"/>
    <w:rsid w:val="00F879D6"/>
    <w:rsid w:val="00F90FF2"/>
    <w:rsid w:val="00F91B70"/>
    <w:rsid w:val="00F920E9"/>
    <w:rsid w:val="00F958B2"/>
    <w:rsid w:val="00F9777D"/>
    <w:rsid w:val="00FA1E57"/>
    <w:rsid w:val="00FA4AB0"/>
    <w:rsid w:val="00FA4DB5"/>
    <w:rsid w:val="00FA6A7A"/>
    <w:rsid w:val="00FA6ED6"/>
    <w:rsid w:val="00FB1B5B"/>
    <w:rsid w:val="00FB5F00"/>
    <w:rsid w:val="00FB704A"/>
    <w:rsid w:val="00FC21BE"/>
    <w:rsid w:val="00FC2747"/>
    <w:rsid w:val="00FC38B5"/>
    <w:rsid w:val="00FC3F43"/>
    <w:rsid w:val="00FC4809"/>
    <w:rsid w:val="00FC4B11"/>
    <w:rsid w:val="00FC5A0F"/>
    <w:rsid w:val="00FC7252"/>
    <w:rsid w:val="00FD00B3"/>
    <w:rsid w:val="00FD0391"/>
    <w:rsid w:val="00FD4925"/>
    <w:rsid w:val="00FE105E"/>
    <w:rsid w:val="00FE4EDF"/>
    <w:rsid w:val="00FE5757"/>
    <w:rsid w:val="00FE638B"/>
    <w:rsid w:val="00FF00F8"/>
    <w:rsid w:val="00FF1A20"/>
    <w:rsid w:val="00FF2C90"/>
    <w:rsid w:val="00FF656E"/>
    <w:rsid w:val="00FF71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0DE891-7FB4-4D51-B781-67EB77C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66DE9"/>
    <w:pPr>
      <w:spacing w:after="0" w:line="240" w:lineRule="auto"/>
    </w:pPr>
    <w:rPr>
      <w:rFonts w:ascii="Times New Roman" w:hAnsi="Times New Roman" w:cs="Times New Roman"/>
      <w:sz w:val="24"/>
      <w:szCs w:val="24"/>
      <w:lang w:eastAsia="hu-HU"/>
    </w:rPr>
  </w:style>
  <w:style w:type="paragraph" w:styleId="Cmsor3">
    <w:name w:val="heading 3"/>
    <w:basedOn w:val="Norml"/>
    <w:next w:val="Norml"/>
    <w:link w:val="Cmsor3Char"/>
    <w:uiPriority w:val="9"/>
    <w:semiHidden/>
    <w:unhideWhenUsed/>
    <w:qFormat/>
    <w:rsid w:val="005251F3"/>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5251F3"/>
    <w:pPr>
      <w:keepNext/>
      <w:spacing w:before="240" w:after="60"/>
      <w:jc w:val="center"/>
      <w:outlineLvl w:val="3"/>
    </w:pPr>
    <w:rPr>
      <w:rFonts w:ascii="Arial" w:eastAsia="Times New Roman"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5251F3"/>
    <w:rPr>
      <w:rFonts w:ascii="Arial" w:eastAsia="Times New Roman" w:hAnsi="Arial" w:cs="Times New Roman"/>
      <w:b/>
      <w:sz w:val="24"/>
      <w:szCs w:val="20"/>
      <w:lang w:eastAsia="hu-HU"/>
    </w:rPr>
  </w:style>
  <w:style w:type="paragraph" w:styleId="NormlWeb">
    <w:name w:val="Normal (Web)"/>
    <w:basedOn w:val="Norml"/>
    <w:uiPriority w:val="99"/>
    <w:unhideWhenUsed/>
    <w:rsid w:val="005251F3"/>
    <w:pPr>
      <w:spacing w:before="100" w:beforeAutospacing="1" w:after="100" w:afterAutospacing="1"/>
    </w:pPr>
  </w:style>
  <w:style w:type="paragraph" w:customStyle="1" w:styleId="Szvegtrzs21">
    <w:name w:val="Szövegtörzs 21"/>
    <w:basedOn w:val="Norml"/>
    <w:rsid w:val="005251F3"/>
    <w:pPr>
      <w:ind w:left="360"/>
      <w:jc w:val="both"/>
    </w:pPr>
    <w:rPr>
      <w:rFonts w:eastAsia="Times New Roman"/>
      <w:szCs w:val="20"/>
    </w:rPr>
  </w:style>
  <w:style w:type="character" w:customStyle="1" w:styleId="Cmsor3Char">
    <w:name w:val="Címsor 3 Char"/>
    <w:basedOn w:val="Bekezdsalapbettpusa"/>
    <w:link w:val="Cmsor3"/>
    <w:uiPriority w:val="9"/>
    <w:semiHidden/>
    <w:rsid w:val="005251F3"/>
    <w:rPr>
      <w:rFonts w:asciiTheme="majorHAnsi" w:eastAsiaTheme="majorEastAsia" w:hAnsiTheme="majorHAnsi" w:cstheme="majorBidi"/>
      <w:b/>
      <w:bCs/>
      <w:color w:val="4F81BD" w:themeColor="accent1"/>
      <w:sz w:val="24"/>
      <w:szCs w:val="24"/>
      <w:lang w:eastAsia="hu-HU"/>
    </w:rPr>
  </w:style>
  <w:style w:type="paragraph" w:customStyle="1" w:styleId="Szvegtrzsbehzssal21">
    <w:name w:val="Szövegtörzs behúzással 21"/>
    <w:basedOn w:val="Norml"/>
    <w:rsid w:val="005251F3"/>
    <w:pPr>
      <w:ind w:left="708"/>
      <w:jc w:val="both"/>
    </w:pPr>
    <w:rPr>
      <w:rFonts w:eastAsia="Times New Roman"/>
      <w:i/>
      <w:szCs w:val="20"/>
    </w:rPr>
  </w:style>
  <w:style w:type="paragraph" w:customStyle="1" w:styleId="Szvegtrzs210">
    <w:name w:val="Szövegtörzs 21"/>
    <w:basedOn w:val="Norml"/>
    <w:rsid w:val="005251F3"/>
    <w:pPr>
      <w:ind w:left="360"/>
      <w:jc w:val="both"/>
    </w:pPr>
    <w:rPr>
      <w:rFonts w:eastAsia="Times New Roman"/>
      <w:szCs w:val="20"/>
    </w:rPr>
  </w:style>
  <w:style w:type="paragraph" w:styleId="Alcm">
    <w:name w:val="Subtitle"/>
    <w:basedOn w:val="Norml"/>
    <w:link w:val="AlcmChar"/>
    <w:qFormat/>
    <w:rsid w:val="005251F3"/>
    <w:pPr>
      <w:spacing w:after="60"/>
      <w:jc w:val="both"/>
    </w:pPr>
    <w:rPr>
      <w:rFonts w:ascii="Arial Narrow" w:eastAsia="Times New Roman" w:hAnsi="Arial Narrow"/>
      <w:sz w:val="22"/>
      <w:szCs w:val="20"/>
    </w:rPr>
  </w:style>
  <w:style w:type="character" w:customStyle="1" w:styleId="AlcmChar">
    <w:name w:val="Alcím Char"/>
    <w:basedOn w:val="Bekezdsalapbettpusa"/>
    <w:link w:val="Alcm"/>
    <w:rsid w:val="005251F3"/>
    <w:rPr>
      <w:rFonts w:ascii="Arial Narrow" w:eastAsia="Times New Roman" w:hAnsi="Arial Narrow" w:cs="Times New Roman"/>
      <w:szCs w:val="20"/>
      <w:lang w:eastAsia="hu-HU"/>
    </w:rPr>
  </w:style>
  <w:style w:type="paragraph" w:customStyle="1" w:styleId="BodyText21">
    <w:name w:val="Body Text 21"/>
    <w:basedOn w:val="Norml"/>
    <w:rsid w:val="005251F3"/>
    <w:pPr>
      <w:jc w:val="both"/>
    </w:pPr>
    <w:rPr>
      <w:rFonts w:eastAsia="Times New Roman"/>
      <w:szCs w:val="20"/>
    </w:rPr>
  </w:style>
  <w:style w:type="paragraph" w:styleId="Szvegtrzs3">
    <w:name w:val="Body Text 3"/>
    <w:basedOn w:val="Norml"/>
    <w:link w:val="Szvegtrzs3Char"/>
    <w:rsid w:val="005251F3"/>
    <w:pPr>
      <w:numPr>
        <w:ilvl w:val="12"/>
      </w:numPr>
      <w:jc w:val="center"/>
    </w:pPr>
    <w:rPr>
      <w:rFonts w:eastAsia="Times New Roman"/>
      <w:sz w:val="22"/>
      <w:szCs w:val="20"/>
    </w:rPr>
  </w:style>
  <w:style w:type="character" w:customStyle="1" w:styleId="Szvegtrzs3Char">
    <w:name w:val="Szövegtörzs 3 Char"/>
    <w:basedOn w:val="Bekezdsalapbettpusa"/>
    <w:link w:val="Szvegtrzs3"/>
    <w:rsid w:val="005251F3"/>
    <w:rPr>
      <w:rFonts w:ascii="Times New Roman" w:eastAsia="Times New Roman" w:hAnsi="Times New Roman" w:cs="Times New Roman"/>
      <w:szCs w:val="20"/>
      <w:lang w:eastAsia="hu-HU"/>
    </w:rPr>
  </w:style>
  <w:style w:type="paragraph" w:styleId="Szvegtrzs">
    <w:name w:val="Body Text"/>
    <w:basedOn w:val="Norml"/>
    <w:link w:val="SzvegtrzsChar"/>
    <w:uiPriority w:val="99"/>
    <w:unhideWhenUsed/>
    <w:rsid w:val="005251F3"/>
    <w:pPr>
      <w:spacing w:after="120"/>
    </w:pPr>
    <w:rPr>
      <w:rFonts w:eastAsia="Times New Roman"/>
      <w:sz w:val="20"/>
      <w:szCs w:val="20"/>
    </w:rPr>
  </w:style>
  <w:style w:type="character" w:customStyle="1" w:styleId="SzvegtrzsChar">
    <w:name w:val="Szövegtörzs Char"/>
    <w:basedOn w:val="Bekezdsalapbettpusa"/>
    <w:link w:val="Szvegtrzs"/>
    <w:uiPriority w:val="99"/>
    <w:rsid w:val="005251F3"/>
    <w:rPr>
      <w:rFonts w:ascii="Times New Roman" w:eastAsia="Times New Roman" w:hAnsi="Times New Roman" w:cs="Times New Roman"/>
      <w:sz w:val="20"/>
      <w:szCs w:val="20"/>
      <w:lang w:eastAsia="hu-HU"/>
    </w:rPr>
  </w:style>
  <w:style w:type="paragraph" w:customStyle="1" w:styleId="Forri">
    <w:name w:val="Forri"/>
    <w:basedOn w:val="Norml"/>
    <w:rsid w:val="005251F3"/>
    <w:pPr>
      <w:widowControl w:val="0"/>
      <w:spacing w:after="360"/>
    </w:pPr>
    <w:rPr>
      <w:rFonts w:eastAsia="Times New Roman"/>
      <w:szCs w:val="20"/>
    </w:rPr>
  </w:style>
  <w:style w:type="character" w:styleId="Lbjegyzet-hivatkozs">
    <w:name w:val="footnote reference"/>
    <w:basedOn w:val="Bekezdsalapbettpusa"/>
    <w:semiHidden/>
    <w:rsid w:val="00472B2F"/>
    <w:rPr>
      <w:vertAlign w:val="superscript"/>
    </w:rPr>
  </w:style>
  <w:style w:type="paragraph" w:styleId="Buborkszveg">
    <w:name w:val="Balloon Text"/>
    <w:basedOn w:val="Norml"/>
    <w:link w:val="BuborkszvegChar"/>
    <w:uiPriority w:val="99"/>
    <w:semiHidden/>
    <w:unhideWhenUsed/>
    <w:rsid w:val="00C62D64"/>
    <w:rPr>
      <w:rFonts w:ascii="Tahoma" w:hAnsi="Tahoma" w:cs="Tahoma"/>
      <w:sz w:val="16"/>
      <w:szCs w:val="16"/>
    </w:rPr>
  </w:style>
  <w:style w:type="character" w:customStyle="1" w:styleId="BuborkszvegChar">
    <w:name w:val="Buborékszöveg Char"/>
    <w:basedOn w:val="Bekezdsalapbettpusa"/>
    <w:link w:val="Buborkszveg"/>
    <w:uiPriority w:val="99"/>
    <w:semiHidden/>
    <w:rsid w:val="00C62D64"/>
    <w:rPr>
      <w:rFonts w:ascii="Tahoma" w:hAnsi="Tahoma" w:cs="Tahoma"/>
      <w:sz w:val="16"/>
      <w:szCs w:val="16"/>
      <w:lang w:eastAsia="hu-HU"/>
    </w:rPr>
  </w:style>
  <w:style w:type="paragraph" w:styleId="Listaszerbekezds">
    <w:name w:val="List Paragraph"/>
    <w:basedOn w:val="Norml"/>
    <w:uiPriority w:val="34"/>
    <w:qFormat/>
    <w:rsid w:val="003F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259">
      <w:bodyDiv w:val="1"/>
      <w:marLeft w:val="0"/>
      <w:marRight w:val="0"/>
      <w:marTop w:val="0"/>
      <w:marBottom w:val="0"/>
      <w:divBdr>
        <w:top w:val="none" w:sz="0" w:space="0" w:color="auto"/>
        <w:left w:val="none" w:sz="0" w:space="0" w:color="auto"/>
        <w:bottom w:val="none" w:sz="0" w:space="0" w:color="auto"/>
        <w:right w:val="none" w:sz="0" w:space="0" w:color="auto"/>
      </w:divBdr>
    </w:div>
    <w:div w:id="15003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3E66-37F8-4CD1-A5A9-0A578B5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1234</Words>
  <Characters>8520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Vas Megyei Kormányhivatal</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2017-07-05T10:13:00Z</cp:lastPrinted>
  <dcterms:created xsi:type="dcterms:W3CDTF">2017-06-12T13:08:00Z</dcterms:created>
  <dcterms:modified xsi:type="dcterms:W3CDTF">2017-07-05T12:04:00Z</dcterms:modified>
</cp:coreProperties>
</file>