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9B" w:rsidRDefault="00C70E8E" w:rsidP="00AB1E9B">
      <w:pPr>
        <w:suppressAutoHyphens/>
        <w:jc w:val="center"/>
        <w:textAlignment w:val="center"/>
        <w:rPr>
          <w:b/>
          <w:sz w:val="24"/>
          <w:szCs w:val="24"/>
          <w:lang w:eastAsia="ar-SA"/>
        </w:rPr>
      </w:pPr>
      <w:bookmarkStart w:id="0" w:name="_Hlk499040990"/>
      <w:bookmarkStart w:id="1" w:name="_Hlk499119730"/>
      <w:r>
        <w:rPr>
          <w:b/>
          <w:sz w:val="24"/>
          <w:szCs w:val="24"/>
          <w:lang w:eastAsia="ar-SA"/>
        </w:rPr>
        <w:t>Rá</w:t>
      </w:r>
      <w:r w:rsidR="00BD08CF">
        <w:rPr>
          <w:b/>
          <w:sz w:val="24"/>
          <w:szCs w:val="24"/>
          <w:lang w:eastAsia="ar-SA"/>
        </w:rPr>
        <w:t>bagyarmat</w:t>
      </w:r>
      <w:r w:rsidR="000C7F5B">
        <w:rPr>
          <w:b/>
          <w:sz w:val="24"/>
          <w:szCs w:val="24"/>
          <w:lang w:eastAsia="ar-SA"/>
        </w:rPr>
        <w:t xml:space="preserve"> Község</w:t>
      </w:r>
      <w:r w:rsidR="00AB1E9B" w:rsidRPr="00AB1E9B">
        <w:rPr>
          <w:b/>
          <w:sz w:val="24"/>
          <w:szCs w:val="24"/>
          <w:lang w:eastAsia="ar-SA"/>
        </w:rPr>
        <w:t xml:space="preserve"> Önkormányzat</w:t>
      </w:r>
      <w:r w:rsidR="00BD08CF">
        <w:rPr>
          <w:b/>
          <w:sz w:val="24"/>
          <w:szCs w:val="24"/>
          <w:lang w:eastAsia="ar-SA"/>
        </w:rPr>
        <w:t>a</w:t>
      </w:r>
      <w:r w:rsidR="00AB1E9B" w:rsidRPr="00AB1E9B">
        <w:rPr>
          <w:b/>
          <w:sz w:val="24"/>
          <w:szCs w:val="24"/>
          <w:lang w:eastAsia="ar-SA"/>
        </w:rPr>
        <w:t xml:space="preserve"> Képviselő-testületének</w:t>
      </w:r>
    </w:p>
    <w:p w:rsidR="00AB1E9B" w:rsidRPr="00AB1E9B" w:rsidRDefault="00BF2CA1" w:rsidP="00AB1E9B">
      <w:pPr>
        <w:suppressAutoHyphens/>
        <w:jc w:val="center"/>
        <w:textAlignment w:val="center"/>
        <w:rPr>
          <w:b/>
          <w:sz w:val="24"/>
          <w:szCs w:val="24"/>
          <w:lang w:eastAsia="ar-SA"/>
        </w:rPr>
      </w:pPr>
      <w:r>
        <w:rPr>
          <w:rFonts w:ascii="Times" w:hAnsi="Times" w:cs="Times"/>
          <w:b/>
          <w:bCs/>
          <w:color w:val="000000"/>
          <w:sz w:val="24"/>
          <w:szCs w:val="24"/>
        </w:rPr>
        <w:t>…..</w:t>
      </w:r>
      <w:r w:rsidRPr="0022073D">
        <w:rPr>
          <w:rFonts w:ascii="Times" w:hAnsi="Times" w:cs="Times"/>
          <w:b/>
          <w:bCs/>
          <w:color w:val="000000"/>
          <w:sz w:val="24"/>
          <w:szCs w:val="24"/>
        </w:rPr>
        <w:t>/20</w:t>
      </w:r>
      <w:r w:rsidR="00C70E8E">
        <w:rPr>
          <w:rFonts w:ascii="Times" w:hAnsi="Times" w:cs="Times"/>
          <w:b/>
          <w:bCs/>
          <w:color w:val="000000"/>
          <w:sz w:val="24"/>
          <w:szCs w:val="24"/>
        </w:rPr>
        <w:t>19</w:t>
      </w:r>
      <w:r>
        <w:rPr>
          <w:rFonts w:ascii="Times" w:hAnsi="Times" w:cs="Times"/>
          <w:b/>
          <w:bCs/>
          <w:color w:val="000000"/>
          <w:sz w:val="24"/>
          <w:szCs w:val="24"/>
        </w:rPr>
        <w:t>.</w:t>
      </w:r>
      <w:r w:rsidRPr="0022073D">
        <w:rPr>
          <w:rFonts w:ascii="Times" w:hAnsi="Times" w:cs="Times"/>
          <w:b/>
          <w:bCs/>
          <w:color w:val="000000"/>
          <w:sz w:val="24"/>
          <w:szCs w:val="24"/>
        </w:rPr>
        <w:t xml:space="preserve"> (</w:t>
      </w:r>
      <w:r>
        <w:rPr>
          <w:rFonts w:ascii="Times" w:hAnsi="Times" w:cs="Times"/>
          <w:b/>
          <w:bCs/>
          <w:color w:val="000000"/>
          <w:sz w:val="24"/>
          <w:szCs w:val="24"/>
        </w:rPr>
        <w:t>………….</w:t>
      </w:r>
      <w:r w:rsidRPr="0022073D">
        <w:rPr>
          <w:rFonts w:ascii="Times" w:hAnsi="Times" w:cs="Times"/>
          <w:b/>
          <w:bCs/>
          <w:color w:val="000000"/>
          <w:sz w:val="24"/>
          <w:szCs w:val="24"/>
        </w:rPr>
        <w:t>.)</w:t>
      </w:r>
      <w:r w:rsidR="00AB1E9B" w:rsidRPr="00AB1E9B">
        <w:rPr>
          <w:b/>
          <w:sz w:val="24"/>
          <w:szCs w:val="24"/>
          <w:lang w:eastAsia="ar-SA"/>
        </w:rPr>
        <w:t>önkormányzati rendelete</w:t>
      </w:r>
      <w:r w:rsidR="00C70E8E">
        <w:rPr>
          <w:b/>
          <w:sz w:val="24"/>
          <w:szCs w:val="24"/>
          <w:lang w:eastAsia="ar-SA"/>
        </w:rPr>
        <w:t>a</w:t>
      </w:r>
    </w:p>
    <w:p w:rsidR="00BD08CF" w:rsidRDefault="00C70E8E" w:rsidP="00AB1E9B">
      <w:pPr>
        <w:suppressAutoHyphens/>
        <w:jc w:val="center"/>
        <w:textAlignment w:val="center"/>
        <w:rPr>
          <w:b/>
          <w:sz w:val="24"/>
          <w:szCs w:val="24"/>
          <w:lang w:eastAsia="ar-SA"/>
        </w:rPr>
      </w:pPr>
      <w:r>
        <w:rPr>
          <w:b/>
          <w:sz w:val="24"/>
          <w:szCs w:val="24"/>
          <w:lang w:eastAsia="ar-SA"/>
        </w:rPr>
        <w:t>Rá</w:t>
      </w:r>
      <w:r w:rsidR="00BD08CF">
        <w:rPr>
          <w:b/>
          <w:sz w:val="24"/>
          <w:szCs w:val="24"/>
          <w:lang w:eastAsia="ar-SA"/>
        </w:rPr>
        <w:t xml:space="preserve">bagyarmat </w:t>
      </w:r>
      <w:r>
        <w:rPr>
          <w:b/>
          <w:sz w:val="24"/>
          <w:szCs w:val="24"/>
          <w:lang w:eastAsia="ar-SA"/>
        </w:rPr>
        <w:t xml:space="preserve">község </w:t>
      </w:r>
      <w:r w:rsidR="00BD08CF">
        <w:rPr>
          <w:b/>
          <w:sz w:val="24"/>
          <w:szCs w:val="24"/>
          <w:lang w:eastAsia="ar-SA"/>
        </w:rPr>
        <w:t xml:space="preserve">Helyi Építési Szabályzatának, </w:t>
      </w:r>
    </w:p>
    <w:p w:rsidR="00AB1E9B" w:rsidRPr="00AB1E9B" w:rsidRDefault="00BD08CF" w:rsidP="00BD08CF">
      <w:pPr>
        <w:suppressAutoHyphens/>
        <w:jc w:val="center"/>
        <w:textAlignment w:val="center"/>
        <w:rPr>
          <w:b/>
          <w:sz w:val="24"/>
          <w:szCs w:val="24"/>
          <w:lang w:eastAsia="ar-SA"/>
        </w:rPr>
      </w:pPr>
      <w:r>
        <w:rPr>
          <w:b/>
          <w:sz w:val="24"/>
          <w:szCs w:val="24"/>
          <w:lang w:eastAsia="ar-SA"/>
        </w:rPr>
        <w:t>valamint</w:t>
      </w:r>
      <w:r w:rsidR="00C70E8E">
        <w:rPr>
          <w:b/>
          <w:sz w:val="24"/>
          <w:szCs w:val="24"/>
          <w:lang w:eastAsia="ar-SA"/>
        </w:rPr>
        <w:t>Szabál</w:t>
      </w:r>
      <w:r>
        <w:rPr>
          <w:b/>
          <w:sz w:val="24"/>
          <w:szCs w:val="24"/>
          <w:lang w:eastAsia="ar-SA"/>
        </w:rPr>
        <w:t xml:space="preserve">yozási Tervének jóváhagyásáról </w:t>
      </w:r>
      <w:r w:rsidR="00C70E8E">
        <w:rPr>
          <w:b/>
          <w:sz w:val="24"/>
          <w:szCs w:val="24"/>
          <w:lang w:eastAsia="ar-SA"/>
        </w:rPr>
        <w:t>szóló</w:t>
      </w:r>
    </w:p>
    <w:p w:rsidR="00AB1E9B" w:rsidRPr="00AB1E9B" w:rsidRDefault="00BD08CF" w:rsidP="00AB1E9B">
      <w:pPr>
        <w:suppressAutoHyphens/>
        <w:jc w:val="center"/>
        <w:textAlignment w:val="center"/>
        <w:rPr>
          <w:b/>
          <w:sz w:val="24"/>
          <w:szCs w:val="24"/>
          <w:lang w:eastAsia="ar-SA"/>
        </w:rPr>
      </w:pPr>
      <w:r>
        <w:rPr>
          <w:rFonts w:ascii="Times" w:hAnsi="Times" w:cs="Times"/>
          <w:b/>
          <w:bCs/>
          <w:color w:val="000000"/>
          <w:sz w:val="24"/>
          <w:szCs w:val="24"/>
        </w:rPr>
        <w:t>9</w:t>
      </w:r>
      <w:r w:rsidR="00BF2CA1" w:rsidRPr="0022073D">
        <w:rPr>
          <w:rFonts w:ascii="Times" w:hAnsi="Times" w:cs="Times"/>
          <w:b/>
          <w:bCs/>
          <w:color w:val="000000"/>
          <w:sz w:val="24"/>
          <w:szCs w:val="24"/>
        </w:rPr>
        <w:t>/200</w:t>
      </w:r>
      <w:r w:rsidR="00C70E8E">
        <w:rPr>
          <w:rFonts w:ascii="Times" w:hAnsi="Times" w:cs="Times"/>
          <w:b/>
          <w:bCs/>
          <w:color w:val="000000"/>
          <w:sz w:val="24"/>
          <w:szCs w:val="24"/>
        </w:rPr>
        <w:t>7</w:t>
      </w:r>
      <w:r w:rsidR="00F74133">
        <w:rPr>
          <w:rFonts w:ascii="Times" w:hAnsi="Times" w:cs="Times"/>
          <w:b/>
          <w:bCs/>
          <w:color w:val="000000"/>
          <w:sz w:val="24"/>
          <w:szCs w:val="24"/>
        </w:rPr>
        <w:t>.</w:t>
      </w:r>
      <w:r w:rsidR="00BF2CA1" w:rsidRPr="0022073D">
        <w:rPr>
          <w:rFonts w:ascii="Times" w:hAnsi="Times" w:cs="Times"/>
          <w:b/>
          <w:bCs/>
          <w:color w:val="000000"/>
          <w:sz w:val="24"/>
          <w:szCs w:val="24"/>
        </w:rPr>
        <w:t xml:space="preserve"> (</w:t>
      </w:r>
      <w:r w:rsidR="00C70E8E">
        <w:rPr>
          <w:rFonts w:ascii="Times" w:hAnsi="Times" w:cs="Times"/>
          <w:b/>
          <w:bCs/>
          <w:color w:val="000000"/>
          <w:sz w:val="24"/>
          <w:szCs w:val="24"/>
        </w:rPr>
        <w:t>X</w:t>
      </w:r>
      <w:r>
        <w:rPr>
          <w:rFonts w:ascii="Times" w:hAnsi="Times" w:cs="Times"/>
          <w:b/>
          <w:bCs/>
          <w:color w:val="000000"/>
          <w:sz w:val="24"/>
          <w:szCs w:val="24"/>
        </w:rPr>
        <w:t>II</w:t>
      </w:r>
      <w:r w:rsidR="000C7F5B">
        <w:rPr>
          <w:rFonts w:ascii="Times" w:hAnsi="Times" w:cs="Times"/>
          <w:b/>
          <w:bCs/>
          <w:color w:val="000000"/>
          <w:sz w:val="24"/>
          <w:szCs w:val="24"/>
        </w:rPr>
        <w:t>.</w:t>
      </w:r>
      <w:r>
        <w:rPr>
          <w:rFonts w:ascii="Times" w:hAnsi="Times" w:cs="Times"/>
          <w:b/>
          <w:bCs/>
          <w:color w:val="000000"/>
          <w:sz w:val="24"/>
          <w:szCs w:val="24"/>
        </w:rPr>
        <w:t>22</w:t>
      </w:r>
      <w:r w:rsidR="00BF2CA1" w:rsidRPr="0022073D">
        <w:rPr>
          <w:rFonts w:ascii="Times" w:hAnsi="Times" w:cs="Times"/>
          <w:b/>
          <w:bCs/>
          <w:color w:val="000000"/>
          <w:sz w:val="24"/>
          <w:szCs w:val="24"/>
        </w:rPr>
        <w:t>.)</w:t>
      </w:r>
      <w:r w:rsidR="00AB1E9B">
        <w:rPr>
          <w:b/>
          <w:sz w:val="24"/>
          <w:szCs w:val="24"/>
          <w:lang w:eastAsia="ar-SA"/>
        </w:rPr>
        <w:t>önkormányzati rendeletének</w:t>
      </w:r>
    </w:p>
    <w:bookmarkEnd w:id="0"/>
    <w:p w:rsidR="00AB1E9B" w:rsidRPr="00C70E8E" w:rsidRDefault="00AB1E9B" w:rsidP="00C70E8E">
      <w:pPr>
        <w:jc w:val="center"/>
        <w:rPr>
          <w:b/>
          <w:bCs/>
          <w:color w:val="FF0000"/>
          <w:sz w:val="24"/>
          <w:szCs w:val="24"/>
        </w:rPr>
      </w:pPr>
      <w:r>
        <w:rPr>
          <w:b/>
          <w:bCs/>
          <w:color w:val="000000"/>
          <w:sz w:val="24"/>
          <w:szCs w:val="24"/>
        </w:rPr>
        <w:t>módosításáról</w:t>
      </w:r>
    </w:p>
    <w:bookmarkEnd w:id="1"/>
    <w:p w:rsidR="00AB1E9B" w:rsidRDefault="00AB1E9B" w:rsidP="00AB1E9B">
      <w:pPr>
        <w:jc w:val="center"/>
        <w:rPr>
          <w:b/>
          <w:bCs/>
          <w:color w:val="000000"/>
          <w:sz w:val="24"/>
          <w:szCs w:val="24"/>
        </w:rPr>
      </w:pPr>
    </w:p>
    <w:p w:rsidR="00AB1E9B" w:rsidRDefault="00AB1E9B" w:rsidP="00AB1E9B">
      <w:pPr>
        <w:jc w:val="center"/>
        <w:rPr>
          <w:b/>
          <w:bCs/>
          <w:color w:val="000000"/>
          <w:sz w:val="24"/>
          <w:szCs w:val="24"/>
        </w:rPr>
      </w:pPr>
    </w:p>
    <w:p w:rsidR="002B00FD" w:rsidRDefault="002B00FD" w:rsidP="002B00FD">
      <w:pPr>
        <w:jc w:val="both"/>
        <w:rPr>
          <w:rFonts w:cs="Arial"/>
          <w:sz w:val="24"/>
          <w:szCs w:val="24"/>
        </w:rPr>
      </w:pPr>
      <w:bookmarkStart w:id="2" w:name="_Hlk499040748"/>
      <w:r>
        <w:rPr>
          <w:rFonts w:cs="Arial"/>
          <w:sz w:val="24"/>
          <w:szCs w:val="24"/>
        </w:rPr>
        <w:t>Rábagyarmat</w:t>
      </w:r>
      <w:r w:rsidRPr="00020EEC">
        <w:rPr>
          <w:rFonts w:cs="Arial"/>
          <w:sz w:val="24"/>
          <w:szCs w:val="24"/>
        </w:rPr>
        <w:t xml:space="preserve"> Község Önkormányzatának Képviselő-testülete az épített környezet alakításáról és védelméről szóló 1997. évi LXXVIII. törvény 62.§ (6) bekezdés 6. pontjában kapott felhatalmazás alapján, az Alaptörvény 32. cikk (1) bekezdés  a) pontjában, Magyarország helyi önkormányzatairól szóló 2011. évi CLXXXIX. törvény 13. § (1) bekezdés 1. pontjában, valamint az épített környezet alakításáról és védelméről szóló 1997. évi LXXVIII. törvény 13.§ (1) bekezdésben meghatározott feladatkörében eljárva, az épített környezet alakításáról és védelméről szóló 1997. évi LXXVIII. törvény 8. § (2) bekezdésében biztosított véleményezési jogkörében eljáró szervek véleményének kikérésével a következőket rendeli el:</w:t>
      </w:r>
    </w:p>
    <w:p w:rsidR="00AB1E9B" w:rsidRDefault="00AB1E9B" w:rsidP="00AB1E9B">
      <w:pPr>
        <w:ind w:left="709" w:hanging="1"/>
        <w:jc w:val="both"/>
        <w:rPr>
          <w:color w:val="000000"/>
          <w:sz w:val="24"/>
          <w:szCs w:val="24"/>
        </w:rPr>
      </w:pPr>
    </w:p>
    <w:p w:rsidR="00AB1E9B" w:rsidRDefault="00AB1E9B" w:rsidP="00AB1E9B">
      <w:pPr>
        <w:ind w:left="709" w:hanging="709"/>
        <w:jc w:val="center"/>
        <w:rPr>
          <w:b/>
          <w:color w:val="000000"/>
          <w:sz w:val="24"/>
          <w:szCs w:val="24"/>
        </w:rPr>
      </w:pPr>
      <w:r>
        <w:rPr>
          <w:b/>
          <w:color w:val="000000"/>
          <w:sz w:val="24"/>
          <w:szCs w:val="24"/>
        </w:rPr>
        <w:t>1</w:t>
      </w:r>
      <w:r w:rsidRPr="00914A85">
        <w:rPr>
          <w:b/>
          <w:color w:val="000000"/>
          <w:sz w:val="24"/>
          <w:szCs w:val="24"/>
        </w:rPr>
        <w:t>.§</w:t>
      </w:r>
    </w:p>
    <w:p w:rsidR="00AB1E9B" w:rsidRDefault="00AB1E9B" w:rsidP="00AB1E9B">
      <w:pPr>
        <w:ind w:left="709" w:hanging="709"/>
        <w:jc w:val="center"/>
        <w:rPr>
          <w:color w:val="000000"/>
          <w:sz w:val="24"/>
          <w:szCs w:val="24"/>
        </w:rPr>
      </w:pPr>
    </w:p>
    <w:p w:rsidR="002B00FD" w:rsidRDefault="002B00FD" w:rsidP="002B00FD">
      <w:pPr>
        <w:ind w:left="709" w:hanging="709"/>
        <w:jc w:val="both"/>
        <w:rPr>
          <w:color w:val="000000"/>
          <w:sz w:val="24"/>
          <w:szCs w:val="24"/>
        </w:rPr>
      </w:pPr>
    </w:p>
    <w:p w:rsidR="00AB1E9B" w:rsidRDefault="002B00FD" w:rsidP="002B00FD">
      <w:pPr>
        <w:ind w:left="414"/>
        <w:jc w:val="both"/>
        <w:rPr>
          <w:rFonts w:cs="Arial"/>
          <w:sz w:val="24"/>
          <w:szCs w:val="24"/>
        </w:rPr>
      </w:pPr>
      <w:r>
        <w:rPr>
          <w:color w:val="000000"/>
          <w:sz w:val="24"/>
          <w:szCs w:val="24"/>
        </w:rPr>
        <w:t xml:space="preserve">(1) </w:t>
      </w:r>
      <w:r w:rsidR="00BD08CF" w:rsidRPr="00BD08CF">
        <w:rPr>
          <w:color w:val="000000"/>
          <w:sz w:val="24"/>
          <w:szCs w:val="24"/>
        </w:rPr>
        <w:t>Rábagyarmat község Helyi Építési Szabályzatának, valamint Szabályozási Tervének jóváhagyásáról szóló 9/2007. (</w:t>
      </w:r>
      <w:r w:rsidR="00BD08CF">
        <w:rPr>
          <w:color w:val="000000"/>
          <w:sz w:val="24"/>
          <w:szCs w:val="24"/>
        </w:rPr>
        <w:t>XII.22.) önkormányzati rendelet</w:t>
      </w:r>
      <w:r>
        <w:rPr>
          <w:color w:val="000000"/>
          <w:sz w:val="24"/>
          <w:szCs w:val="24"/>
        </w:rPr>
        <w:t xml:space="preserve"> </w:t>
      </w:r>
      <w:r w:rsidRPr="00286C77">
        <w:rPr>
          <w:rFonts w:cs="Arial"/>
          <w:sz w:val="24"/>
          <w:szCs w:val="24"/>
        </w:rPr>
        <w:t>(a továbbiakban: Rendelet)</w:t>
      </w:r>
      <w:r>
        <w:rPr>
          <w:rFonts w:cs="Arial"/>
          <w:sz w:val="24"/>
          <w:szCs w:val="24"/>
        </w:rPr>
        <w:t xml:space="preserve"> (§. (7) bekezdés helyébe az alábbi rendelkezés lép:</w:t>
      </w:r>
    </w:p>
    <w:p w:rsidR="002B00FD" w:rsidRDefault="002B00FD" w:rsidP="002B00FD">
      <w:pPr>
        <w:ind w:left="414"/>
        <w:jc w:val="both"/>
        <w:rPr>
          <w:color w:val="000000"/>
          <w:sz w:val="24"/>
          <w:szCs w:val="24"/>
        </w:rPr>
      </w:pPr>
    </w:p>
    <w:p w:rsidR="002B00FD" w:rsidRPr="00CB3454" w:rsidRDefault="002B00FD" w:rsidP="002B00FD">
      <w:pPr>
        <w:ind w:left="414"/>
        <w:jc w:val="both"/>
        <w:rPr>
          <w:b/>
          <w:sz w:val="24"/>
          <w:szCs w:val="24"/>
        </w:rPr>
      </w:pPr>
      <w:r w:rsidRPr="00CB3454">
        <w:rPr>
          <w:b/>
          <w:color w:val="000000"/>
          <w:sz w:val="24"/>
          <w:szCs w:val="24"/>
        </w:rPr>
        <w:t xml:space="preserve">(7) </w:t>
      </w:r>
      <w:r w:rsidRPr="00CB3454">
        <w:rPr>
          <w:b/>
          <w:sz w:val="24"/>
          <w:szCs w:val="24"/>
        </w:rPr>
        <w:t xml:space="preserve">A lakóépülettől különálló épület (gazdasági épület) – kialakult állapot kivételével – legfeljebb </w:t>
      </w:r>
      <w:smartTag w:uri="urn:schemas-microsoft-com:office:smarttags" w:element="metricconverter">
        <w:smartTagPr>
          <w:attr w:name="ProductID" w:val="3,5 m"/>
        </w:smartTagPr>
        <w:r w:rsidRPr="00CB3454">
          <w:rPr>
            <w:b/>
            <w:sz w:val="24"/>
            <w:szCs w:val="24"/>
          </w:rPr>
          <w:t>3,5 m</w:t>
        </w:r>
      </w:smartTag>
      <w:r w:rsidR="00CB3454" w:rsidRPr="00CB3454">
        <w:rPr>
          <w:b/>
          <w:sz w:val="24"/>
          <w:szCs w:val="24"/>
        </w:rPr>
        <w:t xml:space="preserve"> építmény magasságú </w:t>
      </w:r>
      <w:r w:rsidRPr="00CB3454">
        <w:rPr>
          <w:b/>
          <w:sz w:val="24"/>
          <w:szCs w:val="24"/>
        </w:rPr>
        <w:t>l</w:t>
      </w:r>
      <w:r w:rsidRPr="00CB3454">
        <w:rPr>
          <w:b/>
          <w:sz w:val="24"/>
          <w:szCs w:val="24"/>
        </w:rPr>
        <w:t>e</w:t>
      </w:r>
      <w:r w:rsidRPr="00CB3454">
        <w:rPr>
          <w:b/>
          <w:sz w:val="24"/>
          <w:szCs w:val="24"/>
        </w:rPr>
        <w:t>het.</w:t>
      </w:r>
    </w:p>
    <w:p w:rsidR="002B00FD" w:rsidRDefault="002B00FD" w:rsidP="002B00FD">
      <w:pPr>
        <w:ind w:left="414"/>
        <w:jc w:val="both"/>
        <w:rPr>
          <w:color w:val="000000"/>
          <w:sz w:val="24"/>
          <w:szCs w:val="24"/>
        </w:rPr>
      </w:pPr>
    </w:p>
    <w:p w:rsidR="002B00FD" w:rsidRDefault="002B00FD" w:rsidP="002B00FD">
      <w:pPr>
        <w:ind w:left="414"/>
        <w:jc w:val="both"/>
        <w:rPr>
          <w:color w:val="000000"/>
          <w:sz w:val="24"/>
          <w:szCs w:val="24"/>
        </w:rPr>
      </w:pPr>
      <w:r>
        <w:rPr>
          <w:color w:val="000000"/>
          <w:sz w:val="24"/>
          <w:szCs w:val="24"/>
        </w:rPr>
        <w:t>(2) A rendelet 29. § (1) bekezdése helyébe az alábbi rendelkezés lép:</w:t>
      </w:r>
    </w:p>
    <w:p w:rsidR="002B00FD" w:rsidRDefault="002B00FD" w:rsidP="002B00FD">
      <w:pPr>
        <w:ind w:left="414"/>
        <w:jc w:val="both"/>
        <w:rPr>
          <w:color w:val="000000"/>
          <w:sz w:val="24"/>
          <w:szCs w:val="24"/>
        </w:rPr>
      </w:pPr>
    </w:p>
    <w:p w:rsidR="002B00FD" w:rsidRPr="00CB3454" w:rsidRDefault="00CB3454" w:rsidP="002B00FD">
      <w:pPr>
        <w:ind w:left="414"/>
        <w:jc w:val="both"/>
        <w:rPr>
          <w:b/>
          <w:sz w:val="24"/>
          <w:szCs w:val="24"/>
        </w:rPr>
      </w:pPr>
      <w:r w:rsidRPr="00CB3454">
        <w:rPr>
          <w:b/>
          <w:color w:val="000000"/>
          <w:sz w:val="24"/>
          <w:szCs w:val="24"/>
        </w:rPr>
        <w:t>"</w:t>
      </w:r>
      <w:r w:rsidR="002B00FD" w:rsidRPr="00CB3454">
        <w:rPr>
          <w:b/>
          <w:color w:val="000000"/>
          <w:sz w:val="24"/>
          <w:szCs w:val="24"/>
        </w:rPr>
        <w:t xml:space="preserve">(1) </w:t>
      </w:r>
      <w:r w:rsidR="002B00FD" w:rsidRPr="00CB3454">
        <w:rPr>
          <w:b/>
          <w:sz w:val="24"/>
          <w:szCs w:val="24"/>
        </w:rPr>
        <w:t>A település régészeti lelőhelyei, illetve a régészeti érdekű területek a bel- és a külterületi szabályozási terveken került</w:t>
      </w:r>
      <w:r w:rsidRPr="00CB3454">
        <w:rPr>
          <w:b/>
          <w:sz w:val="24"/>
          <w:szCs w:val="24"/>
        </w:rPr>
        <w:t>ek feltüntetésre."</w:t>
      </w:r>
    </w:p>
    <w:p w:rsidR="00CB3454" w:rsidRDefault="00CB3454" w:rsidP="002B00FD">
      <w:pPr>
        <w:ind w:left="414"/>
        <w:jc w:val="both"/>
        <w:rPr>
          <w:color w:val="000000"/>
          <w:sz w:val="24"/>
          <w:szCs w:val="24"/>
        </w:rPr>
      </w:pPr>
    </w:p>
    <w:p w:rsidR="002B00FD" w:rsidRDefault="002B00FD" w:rsidP="002B00FD">
      <w:pPr>
        <w:ind w:left="414"/>
        <w:jc w:val="both"/>
        <w:rPr>
          <w:color w:val="000000"/>
          <w:sz w:val="24"/>
          <w:szCs w:val="24"/>
        </w:rPr>
      </w:pPr>
      <w:r>
        <w:rPr>
          <w:color w:val="000000"/>
          <w:sz w:val="24"/>
          <w:szCs w:val="24"/>
        </w:rPr>
        <w:t>(3) A Rendelet 30. § (1) bekezdés helyébe az alábbi rendelkezés lép:</w:t>
      </w:r>
    </w:p>
    <w:p w:rsidR="002B00FD" w:rsidRDefault="002B00FD" w:rsidP="002B00FD">
      <w:pPr>
        <w:ind w:left="414"/>
        <w:jc w:val="both"/>
        <w:rPr>
          <w:color w:val="000000"/>
          <w:sz w:val="24"/>
          <w:szCs w:val="24"/>
        </w:rPr>
      </w:pPr>
    </w:p>
    <w:p w:rsidR="002B00FD" w:rsidRPr="00CB3454" w:rsidRDefault="00CB3454" w:rsidP="002B00FD">
      <w:pPr>
        <w:spacing w:after="120"/>
        <w:ind w:left="510"/>
        <w:jc w:val="both"/>
        <w:rPr>
          <w:b/>
          <w:sz w:val="24"/>
          <w:szCs w:val="24"/>
        </w:rPr>
      </w:pPr>
      <w:r>
        <w:rPr>
          <w:b/>
          <w:color w:val="000000"/>
          <w:sz w:val="24"/>
          <w:szCs w:val="24"/>
        </w:rPr>
        <w:t>"</w:t>
      </w:r>
      <w:r w:rsidR="002B00FD" w:rsidRPr="00CB3454">
        <w:rPr>
          <w:b/>
          <w:color w:val="000000"/>
          <w:sz w:val="24"/>
          <w:szCs w:val="24"/>
        </w:rPr>
        <w:t xml:space="preserve">(1)  </w:t>
      </w:r>
      <w:r w:rsidR="002B00FD" w:rsidRPr="00CB3454">
        <w:rPr>
          <w:b/>
          <w:sz w:val="24"/>
          <w:szCs w:val="24"/>
        </w:rPr>
        <w:t>Az országos védelem alatt álló műemlék, és műemléki környezet a bel- és a külterületi szabályozá</w:t>
      </w:r>
      <w:r w:rsidRPr="00CB3454">
        <w:rPr>
          <w:b/>
          <w:sz w:val="24"/>
          <w:szCs w:val="24"/>
        </w:rPr>
        <w:t>si terveken kerültek feltüntetésre</w:t>
      </w:r>
      <w:r>
        <w:rPr>
          <w:b/>
          <w:sz w:val="24"/>
          <w:szCs w:val="24"/>
        </w:rPr>
        <w:t>."</w:t>
      </w:r>
    </w:p>
    <w:p w:rsidR="002B00FD" w:rsidRDefault="002B00FD" w:rsidP="002B00FD">
      <w:pPr>
        <w:ind w:left="414"/>
        <w:jc w:val="both"/>
        <w:rPr>
          <w:color w:val="000000"/>
          <w:sz w:val="24"/>
          <w:szCs w:val="24"/>
        </w:rPr>
      </w:pPr>
    </w:p>
    <w:p w:rsidR="002B00FD" w:rsidRDefault="002B00FD" w:rsidP="002B00FD">
      <w:pPr>
        <w:ind w:left="414"/>
        <w:jc w:val="both"/>
        <w:rPr>
          <w:color w:val="000000"/>
          <w:sz w:val="24"/>
          <w:szCs w:val="24"/>
        </w:rPr>
      </w:pPr>
    </w:p>
    <w:p w:rsidR="002B00FD" w:rsidRPr="002B00FD" w:rsidRDefault="002B00FD" w:rsidP="002B00FD">
      <w:pPr>
        <w:ind w:left="414"/>
        <w:jc w:val="center"/>
        <w:rPr>
          <w:b/>
          <w:color w:val="000000"/>
          <w:sz w:val="24"/>
          <w:szCs w:val="24"/>
        </w:rPr>
      </w:pPr>
      <w:r w:rsidRPr="002B00FD">
        <w:rPr>
          <w:b/>
          <w:color w:val="000000"/>
          <w:sz w:val="24"/>
          <w:szCs w:val="24"/>
        </w:rPr>
        <w:t>2. §.</w:t>
      </w:r>
    </w:p>
    <w:p w:rsidR="002B00FD" w:rsidRDefault="002B00FD" w:rsidP="002B00FD">
      <w:pPr>
        <w:ind w:left="414"/>
        <w:jc w:val="both"/>
        <w:rPr>
          <w:color w:val="000000"/>
          <w:sz w:val="24"/>
          <w:szCs w:val="24"/>
        </w:rPr>
      </w:pPr>
    </w:p>
    <w:p w:rsidR="00D13177" w:rsidRDefault="002B00FD" w:rsidP="002B00FD">
      <w:pPr>
        <w:ind w:left="414"/>
        <w:jc w:val="both"/>
      </w:pPr>
      <w:r>
        <w:rPr>
          <w:sz w:val="24"/>
          <w:szCs w:val="24"/>
        </w:rPr>
        <w:t xml:space="preserve">Hatályát veszti a Rendelet </w:t>
      </w:r>
      <w:r w:rsidR="00B4366D">
        <w:t>7</w:t>
      </w:r>
      <w:r w:rsidR="00E6328E">
        <w:t xml:space="preserve">. § </w:t>
      </w:r>
      <w:r w:rsidR="00C91F36">
        <w:t>(1)-</w:t>
      </w:r>
      <w:r w:rsidR="00330BFF">
        <w:t>(2)</w:t>
      </w:r>
      <w:r w:rsidR="00D13177">
        <w:t>, (4)-(6)</w:t>
      </w:r>
      <w:r w:rsidR="00B4366D">
        <w:t xml:space="preserve"> bekezdés</w:t>
      </w:r>
      <w:r w:rsidR="00330BFF">
        <w:t>e;</w:t>
      </w:r>
      <w:r>
        <w:t xml:space="preserve"> </w:t>
      </w:r>
      <w:bookmarkStart w:id="3" w:name="_GoBack"/>
      <w:bookmarkEnd w:id="3"/>
      <w:r w:rsidR="00D13177">
        <w:t>7. § (9)-(11) bekezdése;</w:t>
      </w:r>
      <w:r>
        <w:t xml:space="preserve"> </w:t>
      </w:r>
      <w:r w:rsidR="00D13177">
        <w:t>8. §</w:t>
      </w:r>
      <w:proofErr w:type="spellStart"/>
      <w:r w:rsidR="00D13177">
        <w:t>-a</w:t>
      </w:r>
      <w:proofErr w:type="spellEnd"/>
      <w:r w:rsidR="00D13177">
        <w:t>;</w:t>
      </w:r>
      <w:r>
        <w:t xml:space="preserve"> </w:t>
      </w:r>
      <w:r w:rsidR="00D13177">
        <w:t>11. § (6)-(7) bekezdése;</w:t>
      </w:r>
      <w:r>
        <w:t xml:space="preserve"> </w:t>
      </w:r>
      <w:r w:rsidR="00D13177">
        <w:t>14. § (3) bekezdése;</w:t>
      </w:r>
      <w:r>
        <w:t xml:space="preserve"> </w:t>
      </w:r>
      <w:r w:rsidR="00D13177">
        <w:t>16. § (6), (11) bekezdése;</w:t>
      </w:r>
      <w:r>
        <w:t xml:space="preserve"> </w:t>
      </w:r>
      <w:r w:rsidR="00D13177">
        <w:t>17. § (12) bekezdése;</w:t>
      </w:r>
      <w:r>
        <w:t xml:space="preserve"> </w:t>
      </w:r>
      <w:r w:rsidR="00D13177">
        <w:t>19. § (12) bekezdése;</w:t>
      </w:r>
      <w:r>
        <w:t xml:space="preserve"> </w:t>
      </w:r>
      <w:r w:rsidR="00D13177">
        <w:t>20. § (13) bekezdése;</w:t>
      </w:r>
      <w:r>
        <w:t xml:space="preserve"> </w:t>
      </w:r>
      <w:r w:rsidR="00D13177">
        <w:t>21. § (8) bekezdése;</w:t>
      </w:r>
    </w:p>
    <w:p w:rsidR="004A45BC" w:rsidRPr="00A63D47" w:rsidRDefault="00D13177" w:rsidP="000C7F5B">
      <w:pPr>
        <w:pStyle w:val="Listaszerbekezds"/>
        <w:spacing w:after="0" w:line="300" w:lineRule="exact"/>
        <w:ind w:left="414"/>
        <w:jc w:val="both"/>
        <w:rPr>
          <w:rFonts w:ascii="Times New Roman" w:hAnsi="Times New Roman"/>
        </w:rPr>
      </w:pPr>
      <w:r>
        <w:rPr>
          <w:rFonts w:ascii="Times New Roman" w:hAnsi="Times New Roman"/>
        </w:rPr>
        <w:t>25. § (1)-(2) bekezdése;</w:t>
      </w:r>
      <w:r w:rsidR="002B00FD">
        <w:rPr>
          <w:rFonts w:ascii="Times New Roman" w:hAnsi="Times New Roman"/>
        </w:rPr>
        <w:t xml:space="preserve"> </w:t>
      </w:r>
      <w:r>
        <w:rPr>
          <w:rFonts w:ascii="Times New Roman" w:hAnsi="Times New Roman"/>
        </w:rPr>
        <w:t>26. § (3), (5)-(6) bekezdése;</w:t>
      </w:r>
      <w:r w:rsidR="002B00FD">
        <w:rPr>
          <w:rFonts w:ascii="Times New Roman" w:hAnsi="Times New Roman"/>
        </w:rPr>
        <w:t xml:space="preserve"> </w:t>
      </w:r>
      <w:r>
        <w:rPr>
          <w:rFonts w:ascii="Times New Roman" w:hAnsi="Times New Roman"/>
        </w:rPr>
        <w:t>28. § (1), (3), (6) bekezdése;</w:t>
      </w:r>
      <w:r w:rsidR="002B00FD">
        <w:rPr>
          <w:rFonts w:ascii="Times New Roman" w:hAnsi="Times New Roman"/>
        </w:rPr>
        <w:t xml:space="preserve"> </w:t>
      </w:r>
      <w:r w:rsidR="004A45BC" w:rsidRPr="00A63D47">
        <w:rPr>
          <w:rFonts w:ascii="Times New Roman" w:hAnsi="Times New Roman"/>
        </w:rPr>
        <w:t>31. § (2) bekezdése;</w:t>
      </w:r>
      <w:r w:rsidR="002B00FD">
        <w:rPr>
          <w:rFonts w:ascii="Times New Roman" w:hAnsi="Times New Roman"/>
        </w:rPr>
        <w:t xml:space="preserve"> </w:t>
      </w:r>
      <w:r w:rsidR="004A45BC" w:rsidRPr="00A63D47">
        <w:rPr>
          <w:rFonts w:ascii="Times New Roman" w:hAnsi="Times New Roman"/>
        </w:rPr>
        <w:t>32. § (1)-(3) bekezdése;</w:t>
      </w:r>
      <w:r w:rsidR="002B00FD">
        <w:rPr>
          <w:rFonts w:ascii="Times New Roman" w:hAnsi="Times New Roman"/>
        </w:rPr>
        <w:t xml:space="preserve"> </w:t>
      </w:r>
      <w:r w:rsidR="004A45BC" w:rsidRPr="00A63D47">
        <w:rPr>
          <w:rFonts w:ascii="Times New Roman" w:hAnsi="Times New Roman"/>
        </w:rPr>
        <w:t>1. számú melléklete;</w:t>
      </w:r>
    </w:p>
    <w:p w:rsidR="007A5426" w:rsidRDefault="007A5426" w:rsidP="00C70E8E">
      <w:pPr>
        <w:jc w:val="both"/>
        <w:rPr>
          <w:sz w:val="24"/>
          <w:szCs w:val="24"/>
        </w:rPr>
      </w:pPr>
    </w:p>
    <w:p w:rsidR="002B00FD" w:rsidRPr="002B00FD" w:rsidRDefault="002B00FD" w:rsidP="002B00FD">
      <w:pPr>
        <w:jc w:val="center"/>
        <w:rPr>
          <w:b/>
          <w:sz w:val="24"/>
          <w:szCs w:val="24"/>
        </w:rPr>
      </w:pPr>
      <w:r w:rsidRPr="002B00FD">
        <w:rPr>
          <w:b/>
          <w:sz w:val="24"/>
          <w:szCs w:val="24"/>
        </w:rPr>
        <w:t>3. §.</w:t>
      </w:r>
    </w:p>
    <w:p w:rsidR="002B00FD" w:rsidRDefault="002B00FD" w:rsidP="00C70E8E">
      <w:pPr>
        <w:jc w:val="both"/>
        <w:rPr>
          <w:sz w:val="24"/>
          <w:szCs w:val="24"/>
        </w:rPr>
      </w:pPr>
    </w:p>
    <w:p w:rsidR="002B00FD" w:rsidRPr="00286C77" w:rsidRDefault="002B00FD" w:rsidP="002B00FD">
      <w:pPr>
        <w:pStyle w:val="Listaszerbekezds"/>
        <w:numPr>
          <w:ilvl w:val="0"/>
          <w:numId w:val="3"/>
        </w:numPr>
        <w:spacing w:after="0" w:line="240" w:lineRule="auto"/>
        <w:jc w:val="both"/>
        <w:rPr>
          <w:rFonts w:ascii="Times New Roman" w:hAnsi="Times New Roman"/>
          <w:sz w:val="24"/>
          <w:szCs w:val="24"/>
        </w:rPr>
      </w:pPr>
      <w:r w:rsidRPr="00286C77">
        <w:rPr>
          <w:rFonts w:ascii="Times New Roman" w:hAnsi="Times New Roman"/>
          <w:sz w:val="24"/>
          <w:szCs w:val="24"/>
        </w:rPr>
        <w:lastRenderedPageBreak/>
        <w:t>E rendelet 2019. …………. napján lép hatályba, és a hatályba lépését követő napon hatályát veszti.</w:t>
      </w:r>
    </w:p>
    <w:p w:rsidR="002B00FD" w:rsidRPr="00286C77" w:rsidRDefault="002B00FD" w:rsidP="002B00FD">
      <w:pPr>
        <w:pStyle w:val="Listaszerbekezds"/>
        <w:numPr>
          <w:ilvl w:val="0"/>
          <w:numId w:val="3"/>
        </w:numPr>
        <w:spacing w:after="0" w:line="240" w:lineRule="auto"/>
        <w:jc w:val="both"/>
        <w:rPr>
          <w:rFonts w:ascii="Times New Roman" w:hAnsi="Times New Roman"/>
          <w:sz w:val="24"/>
          <w:szCs w:val="24"/>
        </w:rPr>
      </w:pPr>
      <w:r w:rsidRPr="00286C77">
        <w:rPr>
          <w:rFonts w:ascii="Times New Roman" w:hAnsi="Times New Roman"/>
          <w:sz w:val="24"/>
          <w:szCs w:val="24"/>
        </w:rPr>
        <w:t>E rendelet előírásait a hatálybalépését követően indult ügyekben kell alkalmazni.</w:t>
      </w:r>
    </w:p>
    <w:p w:rsidR="00AB1E9B" w:rsidRDefault="00AB1E9B" w:rsidP="00AB1E9B">
      <w:pPr>
        <w:ind w:left="708"/>
        <w:jc w:val="both"/>
        <w:rPr>
          <w:sz w:val="24"/>
          <w:szCs w:val="24"/>
        </w:rPr>
      </w:pPr>
    </w:p>
    <w:p w:rsidR="00AB1E9B" w:rsidRDefault="00AB1E9B" w:rsidP="00AB1E9B">
      <w:pPr>
        <w:ind w:left="708"/>
        <w:jc w:val="both"/>
        <w:rPr>
          <w:sz w:val="24"/>
          <w:szCs w:val="24"/>
        </w:rPr>
      </w:pPr>
    </w:p>
    <w:p w:rsidR="00AB1E9B" w:rsidRDefault="00BD08CF" w:rsidP="00BD08CF">
      <w:pPr>
        <w:ind w:left="1416"/>
        <w:jc w:val="both"/>
        <w:rPr>
          <w:sz w:val="24"/>
          <w:szCs w:val="24"/>
        </w:rPr>
      </w:pPr>
      <w:r>
        <w:rPr>
          <w:sz w:val="24"/>
          <w:szCs w:val="24"/>
        </w:rPr>
        <w:t>Háklár Gyula</w:t>
      </w:r>
      <w:r w:rsidR="000C7F5B">
        <w:rPr>
          <w:sz w:val="24"/>
          <w:szCs w:val="24"/>
        </w:rPr>
        <w:tab/>
      </w:r>
      <w:r w:rsidR="000C7F5B">
        <w:rPr>
          <w:sz w:val="24"/>
          <w:szCs w:val="24"/>
        </w:rPr>
        <w:tab/>
      </w:r>
      <w:r w:rsidR="000C7F5B">
        <w:rPr>
          <w:sz w:val="24"/>
          <w:szCs w:val="24"/>
        </w:rPr>
        <w:tab/>
      </w:r>
      <w:r w:rsidR="000C7F5B">
        <w:rPr>
          <w:sz w:val="24"/>
          <w:szCs w:val="24"/>
        </w:rPr>
        <w:tab/>
      </w:r>
      <w:r>
        <w:rPr>
          <w:sz w:val="24"/>
          <w:szCs w:val="24"/>
        </w:rPr>
        <w:tab/>
      </w:r>
      <w:r>
        <w:rPr>
          <w:sz w:val="24"/>
          <w:szCs w:val="24"/>
        </w:rPr>
        <w:tab/>
      </w:r>
      <w:r w:rsidR="00493BA5" w:rsidRPr="00493BA5">
        <w:rPr>
          <w:sz w:val="24"/>
          <w:szCs w:val="24"/>
        </w:rPr>
        <w:t>dr. Kelemen Marcell</w:t>
      </w:r>
      <w:r w:rsidR="00493BA5" w:rsidRPr="00493BA5">
        <w:rPr>
          <w:sz w:val="24"/>
          <w:szCs w:val="24"/>
        </w:rPr>
        <w:tab/>
      </w:r>
    </w:p>
    <w:p w:rsidR="00AB1E9B" w:rsidRPr="00545714" w:rsidRDefault="00AB1E9B" w:rsidP="00493BA5">
      <w:pPr>
        <w:ind w:left="708" w:firstLine="708"/>
        <w:rPr>
          <w:b/>
          <w:sz w:val="24"/>
          <w:szCs w:val="24"/>
        </w:rPr>
      </w:pPr>
      <w:r w:rsidRPr="00545714">
        <w:rPr>
          <w:b/>
          <w:sz w:val="24"/>
          <w:szCs w:val="24"/>
        </w:rPr>
        <w:t>polgármester</w:t>
      </w:r>
      <w:r w:rsidRPr="00545714">
        <w:rPr>
          <w:b/>
          <w:sz w:val="24"/>
          <w:szCs w:val="24"/>
        </w:rPr>
        <w:tab/>
      </w:r>
      <w:r w:rsidRPr="00545714">
        <w:rPr>
          <w:b/>
          <w:sz w:val="24"/>
          <w:szCs w:val="24"/>
        </w:rPr>
        <w:tab/>
      </w:r>
      <w:r w:rsidRPr="00545714">
        <w:rPr>
          <w:b/>
          <w:sz w:val="24"/>
          <w:szCs w:val="24"/>
        </w:rPr>
        <w:tab/>
      </w:r>
      <w:r w:rsidRPr="00545714">
        <w:rPr>
          <w:b/>
          <w:sz w:val="24"/>
          <w:szCs w:val="24"/>
        </w:rPr>
        <w:tab/>
      </w:r>
      <w:r w:rsidRPr="00545714">
        <w:rPr>
          <w:b/>
          <w:sz w:val="24"/>
          <w:szCs w:val="24"/>
        </w:rPr>
        <w:tab/>
      </w:r>
      <w:r w:rsidRPr="00545714">
        <w:rPr>
          <w:b/>
          <w:sz w:val="24"/>
          <w:szCs w:val="24"/>
        </w:rPr>
        <w:tab/>
      </w:r>
      <w:r w:rsidRPr="00545714">
        <w:rPr>
          <w:b/>
          <w:sz w:val="24"/>
          <w:szCs w:val="24"/>
        </w:rPr>
        <w:tab/>
        <w:t>jegyző</w:t>
      </w:r>
    </w:p>
    <w:p w:rsidR="00AB1E9B" w:rsidRDefault="00AB1E9B" w:rsidP="00AB1E9B">
      <w:pPr>
        <w:widowControl w:val="0"/>
        <w:tabs>
          <w:tab w:val="center" w:pos="2160"/>
          <w:tab w:val="center" w:pos="5760"/>
        </w:tabs>
        <w:overflowPunct w:val="0"/>
        <w:autoSpaceDE w:val="0"/>
        <w:autoSpaceDN w:val="0"/>
        <w:adjustRightInd w:val="0"/>
        <w:ind w:right="-2"/>
        <w:jc w:val="both"/>
        <w:textAlignment w:val="baseline"/>
        <w:rPr>
          <w:sz w:val="24"/>
          <w:szCs w:val="24"/>
        </w:rPr>
      </w:pPr>
    </w:p>
    <w:p w:rsidR="00AB1E9B" w:rsidRDefault="00AB1E9B" w:rsidP="00AB1E9B">
      <w:pPr>
        <w:widowControl w:val="0"/>
        <w:tabs>
          <w:tab w:val="center" w:pos="2160"/>
          <w:tab w:val="center" w:pos="5760"/>
        </w:tabs>
        <w:overflowPunct w:val="0"/>
        <w:autoSpaceDE w:val="0"/>
        <w:autoSpaceDN w:val="0"/>
        <w:adjustRightInd w:val="0"/>
        <w:ind w:right="-2"/>
        <w:jc w:val="both"/>
        <w:textAlignment w:val="baseline"/>
        <w:rPr>
          <w:sz w:val="24"/>
          <w:szCs w:val="24"/>
        </w:rPr>
      </w:pPr>
    </w:p>
    <w:p w:rsidR="00AB1E9B" w:rsidRDefault="00AB1E9B" w:rsidP="00AB1E9B">
      <w:pPr>
        <w:widowControl w:val="0"/>
        <w:tabs>
          <w:tab w:val="center" w:pos="2160"/>
          <w:tab w:val="center" w:pos="5760"/>
        </w:tabs>
        <w:overflowPunct w:val="0"/>
        <w:autoSpaceDE w:val="0"/>
        <w:autoSpaceDN w:val="0"/>
        <w:adjustRightInd w:val="0"/>
        <w:ind w:right="-2"/>
        <w:jc w:val="both"/>
        <w:textAlignment w:val="baseline"/>
        <w:rPr>
          <w:sz w:val="24"/>
          <w:szCs w:val="24"/>
        </w:rPr>
      </w:pPr>
      <w:r>
        <w:rPr>
          <w:sz w:val="24"/>
          <w:szCs w:val="24"/>
        </w:rPr>
        <w:t>Záradék: Kihirdetve a Polgármesteri Hivatal hirdetőtábláján történő kifüggesztéssel 201</w:t>
      </w:r>
      <w:r w:rsidR="00493BA5">
        <w:rPr>
          <w:sz w:val="24"/>
          <w:szCs w:val="24"/>
        </w:rPr>
        <w:t>9</w:t>
      </w:r>
      <w:r>
        <w:rPr>
          <w:sz w:val="24"/>
          <w:szCs w:val="24"/>
        </w:rPr>
        <w:t>……………….napján.</w:t>
      </w:r>
    </w:p>
    <w:p w:rsidR="00AB1E9B" w:rsidRDefault="00AB1E9B" w:rsidP="00AB1E9B">
      <w:pPr>
        <w:widowControl w:val="0"/>
        <w:tabs>
          <w:tab w:val="center" w:pos="2160"/>
          <w:tab w:val="center" w:pos="5760"/>
        </w:tabs>
        <w:overflowPunct w:val="0"/>
        <w:autoSpaceDE w:val="0"/>
        <w:autoSpaceDN w:val="0"/>
        <w:adjustRightInd w:val="0"/>
        <w:ind w:right="-2"/>
        <w:jc w:val="both"/>
        <w:textAlignment w:val="baseline"/>
        <w:rPr>
          <w:sz w:val="24"/>
          <w:szCs w:val="24"/>
        </w:rPr>
      </w:pPr>
    </w:p>
    <w:p w:rsidR="00AB1E9B" w:rsidRDefault="00AB1E9B" w:rsidP="00AB1E9B">
      <w:pPr>
        <w:ind w:left="5664" w:firstLine="708"/>
        <w:rPr>
          <w:b/>
          <w:sz w:val="24"/>
          <w:szCs w:val="24"/>
        </w:rPr>
      </w:pPr>
    </w:p>
    <w:p w:rsidR="00AB1E9B" w:rsidRPr="00545714" w:rsidRDefault="00493BA5" w:rsidP="00493BA5">
      <w:pPr>
        <w:ind w:left="5664" w:firstLine="708"/>
        <w:rPr>
          <w:b/>
          <w:sz w:val="24"/>
          <w:szCs w:val="24"/>
        </w:rPr>
      </w:pPr>
      <w:r w:rsidRPr="00493BA5">
        <w:rPr>
          <w:b/>
          <w:sz w:val="24"/>
          <w:szCs w:val="24"/>
        </w:rPr>
        <w:t>dr. Kelemen Marcell</w:t>
      </w:r>
      <w:r w:rsidRPr="00493BA5">
        <w:rPr>
          <w:b/>
          <w:sz w:val="24"/>
          <w:szCs w:val="24"/>
        </w:rPr>
        <w:tab/>
      </w:r>
      <w:r w:rsidR="00AB1E9B">
        <w:rPr>
          <w:b/>
          <w:sz w:val="24"/>
          <w:szCs w:val="24"/>
        </w:rPr>
        <w:tab/>
      </w:r>
      <w:r w:rsidR="00AB1E9B" w:rsidRPr="00545714">
        <w:rPr>
          <w:b/>
          <w:sz w:val="24"/>
          <w:szCs w:val="24"/>
        </w:rPr>
        <w:t>jegyző</w:t>
      </w:r>
    </w:p>
    <w:bookmarkEnd w:id="2"/>
    <w:p w:rsidR="00C600B0" w:rsidRDefault="00C600B0"/>
    <w:sectPr w:rsidR="00C600B0" w:rsidSect="00644A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04D32"/>
    <w:multiLevelType w:val="hybridMultilevel"/>
    <w:tmpl w:val="5D249F8A"/>
    <w:lvl w:ilvl="0" w:tplc="C7D0EE5E">
      <w:start w:val="1"/>
      <w:numFmt w:val="decimal"/>
      <w:lvlText w:val="(%1)"/>
      <w:lvlJc w:val="left"/>
      <w:pPr>
        <w:tabs>
          <w:tab w:val="num" w:pos="510"/>
        </w:tabs>
        <w:ind w:left="510" w:hanging="51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38B366A2"/>
    <w:multiLevelType w:val="hybridMultilevel"/>
    <w:tmpl w:val="7E924DA4"/>
    <w:lvl w:ilvl="0" w:tplc="561618B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A452F00"/>
    <w:multiLevelType w:val="hybridMultilevel"/>
    <w:tmpl w:val="AB02F712"/>
    <w:lvl w:ilvl="0" w:tplc="040E0017">
      <w:start w:val="1"/>
      <w:numFmt w:val="lowerLetter"/>
      <w:lvlText w:val="%1)"/>
      <w:lvlJc w:val="left"/>
      <w:pPr>
        <w:ind w:left="1146" w:hanging="360"/>
      </w:pPr>
      <w:rPr>
        <w:rFonts w:hint="default"/>
        <w:color w:val="auto"/>
        <w:sz w:val="22"/>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
    <w:nsid w:val="49E04F86"/>
    <w:multiLevelType w:val="hybridMultilevel"/>
    <w:tmpl w:val="16CE5ADC"/>
    <w:lvl w:ilvl="0" w:tplc="559EE24C">
      <w:start w:val="1"/>
      <w:numFmt w:val="decimal"/>
      <w:lvlText w:val="(%1)"/>
      <w:lvlJc w:val="left"/>
      <w:pPr>
        <w:ind w:left="414" w:hanging="450"/>
      </w:pPr>
      <w:rPr>
        <w:rFonts w:hint="default"/>
      </w:rPr>
    </w:lvl>
    <w:lvl w:ilvl="1" w:tplc="040E0019" w:tentative="1">
      <w:start w:val="1"/>
      <w:numFmt w:val="lowerLetter"/>
      <w:lvlText w:val="%2."/>
      <w:lvlJc w:val="left"/>
      <w:pPr>
        <w:ind w:left="1044" w:hanging="360"/>
      </w:pPr>
    </w:lvl>
    <w:lvl w:ilvl="2" w:tplc="040E001B" w:tentative="1">
      <w:start w:val="1"/>
      <w:numFmt w:val="lowerRoman"/>
      <w:lvlText w:val="%3."/>
      <w:lvlJc w:val="right"/>
      <w:pPr>
        <w:ind w:left="1764" w:hanging="180"/>
      </w:pPr>
    </w:lvl>
    <w:lvl w:ilvl="3" w:tplc="040E000F" w:tentative="1">
      <w:start w:val="1"/>
      <w:numFmt w:val="decimal"/>
      <w:lvlText w:val="%4."/>
      <w:lvlJc w:val="left"/>
      <w:pPr>
        <w:ind w:left="2484" w:hanging="360"/>
      </w:pPr>
    </w:lvl>
    <w:lvl w:ilvl="4" w:tplc="040E0019" w:tentative="1">
      <w:start w:val="1"/>
      <w:numFmt w:val="lowerLetter"/>
      <w:lvlText w:val="%5."/>
      <w:lvlJc w:val="left"/>
      <w:pPr>
        <w:ind w:left="3204" w:hanging="360"/>
      </w:pPr>
    </w:lvl>
    <w:lvl w:ilvl="5" w:tplc="040E001B" w:tentative="1">
      <w:start w:val="1"/>
      <w:numFmt w:val="lowerRoman"/>
      <w:lvlText w:val="%6."/>
      <w:lvlJc w:val="right"/>
      <w:pPr>
        <w:ind w:left="3924" w:hanging="180"/>
      </w:pPr>
    </w:lvl>
    <w:lvl w:ilvl="6" w:tplc="040E000F" w:tentative="1">
      <w:start w:val="1"/>
      <w:numFmt w:val="decimal"/>
      <w:lvlText w:val="%7."/>
      <w:lvlJc w:val="left"/>
      <w:pPr>
        <w:ind w:left="4644" w:hanging="360"/>
      </w:pPr>
    </w:lvl>
    <w:lvl w:ilvl="7" w:tplc="040E0019" w:tentative="1">
      <w:start w:val="1"/>
      <w:numFmt w:val="lowerLetter"/>
      <w:lvlText w:val="%8."/>
      <w:lvlJc w:val="left"/>
      <w:pPr>
        <w:ind w:left="5364" w:hanging="360"/>
      </w:pPr>
    </w:lvl>
    <w:lvl w:ilvl="8" w:tplc="040E001B" w:tentative="1">
      <w:start w:val="1"/>
      <w:numFmt w:val="lowerRoman"/>
      <w:lvlText w:val="%9."/>
      <w:lvlJc w:val="right"/>
      <w:pPr>
        <w:ind w:left="6084"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B1E9B"/>
    <w:rsid w:val="00000CE6"/>
    <w:rsid w:val="000C00F0"/>
    <w:rsid w:val="000C7F5B"/>
    <w:rsid w:val="000E00B5"/>
    <w:rsid w:val="00140DA8"/>
    <w:rsid w:val="002765F7"/>
    <w:rsid w:val="00286C05"/>
    <w:rsid w:val="00297937"/>
    <w:rsid w:val="002B00FD"/>
    <w:rsid w:val="00330BFF"/>
    <w:rsid w:val="003422D8"/>
    <w:rsid w:val="00354BD1"/>
    <w:rsid w:val="00386539"/>
    <w:rsid w:val="00412707"/>
    <w:rsid w:val="00493BA5"/>
    <w:rsid w:val="004A45BC"/>
    <w:rsid w:val="00540147"/>
    <w:rsid w:val="0060466C"/>
    <w:rsid w:val="00644A01"/>
    <w:rsid w:val="00701AB5"/>
    <w:rsid w:val="00727B7A"/>
    <w:rsid w:val="007A50D0"/>
    <w:rsid w:val="007A5426"/>
    <w:rsid w:val="007E7E2E"/>
    <w:rsid w:val="0087316F"/>
    <w:rsid w:val="008C6A2A"/>
    <w:rsid w:val="009114A3"/>
    <w:rsid w:val="009A361C"/>
    <w:rsid w:val="009B7A71"/>
    <w:rsid w:val="00A63D47"/>
    <w:rsid w:val="00A74544"/>
    <w:rsid w:val="00A81DA5"/>
    <w:rsid w:val="00A93762"/>
    <w:rsid w:val="00AB1E9B"/>
    <w:rsid w:val="00AB29BD"/>
    <w:rsid w:val="00B4366D"/>
    <w:rsid w:val="00B477D3"/>
    <w:rsid w:val="00B77CD7"/>
    <w:rsid w:val="00BD08CF"/>
    <w:rsid w:val="00BF2CA1"/>
    <w:rsid w:val="00C323E7"/>
    <w:rsid w:val="00C600B0"/>
    <w:rsid w:val="00C70E8E"/>
    <w:rsid w:val="00C70EC9"/>
    <w:rsid w:val="00C91F36"/>
    <w:rsid w:val="00C97044"/>
    <w:rsid w:val="00C9772C"/>
    <w:rsid w:val="00CB3454"/>
    <w:rsid w:val="00D13177"/>
    <w:rsid w:val="00D46C1B"/>
    <w:rsid w:val="00D94955"/>
    <w:rsid w:val="00DC5A5D"/>
    <w:rsid w:val="00E46866"/>
    <w:rsid w:val="00E6328E"/>
    <w:rsid w:val="00EF3959"/>
    <w:rsid w:val="00F24166"/>
    <w:rsid w:val="00F45251"/>
    <w:rsid w:val="00F51615"/>
    <w:rsid w:val="00F7413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1E9B"/>
    <w:pPr>
      <w:spacing w:after="0" w:line="240" w:lineRule="auto"/>
    </w:pPr>
    <w:rPr>
      <w:rFonts w:ascii="Times New Roman" w:eastAsia="Times New Roman" w:hAnsi="Times New Roman" w:cs="Times New Roman"/>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C7F5B"/>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325</Words>
  <Characters>2243</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Ruff-Pánczél Zsuzsanna</dc:creator>
  <cp:keywords/>
  <dc:description/>
  <cp:lastModifiedBy>User</cp:lastModifiedBy>
  <cp:revision>17</cp:revision>
  <dcterms:created xsi:type="dcterms:W3CDTF">2019-02-22T08:22:00Z</dcterms:created>
  <dcterms:modified xsi:type="dcterms:W3CDTF">2019-04-03T11:49:00Z</dcterms:modified>
</cp:coreProperties>
</file>